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ind w:right="960" w:firstLine="0" w:firstLineChars="0"/>
        <w:rPr>
          <w:rFonts w:hint="eastAsia" w:ascii="黑体" w:hAnsi="黑体" w:eastAsia="黑体"/>
          <w:sz w:val="24"/>
          <w:szCs w:val="24"/>
          <w:lang w:eastAsia="zh-CN"/>
        </w:rPr>
      </w:pPr>
      <w:r>
        <w:rPr>
          <w:rFonts w:hint="eastAsia" w:ascii="黑体" w:hAnsi="黑体" w:eastAsia="黑体"/>
          <w:sz w:val="24"/>
          <w:szCs w:val="24"/>
          <w:lang w:eastAsia="zh-CN"/>
        </w:rPr>
        <w:drawing>
          <wp:inline distT="0" distB="0" distL="114300" distR="114300">
            <wp:extent cx="5614035" cy="5186045"/>
            <wp:effectExtent l="0" t="0" r="5715" b="14605"/>
            <wp:docPr id="1" name="图片 1" descr="NMPA 指导原则 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NMPA 指导原则 新"/>
                    <pic:cNvPicPr>
                      <a:picLocks noChangeAspect="1"/>
                    </pic:cNvPicPr>
                  </pic:nvPicPr>
                  <pic:blipFill>
                    <a:blip r:embed="rId6"/>
                    <a:stretch>
                      <a:fillRect/>
                    </a:stretch>
                  </pic:blipFill>
                  <pic:spPr>
                    <a:xfrm>
                      <a:off x="0" y="0"/>
                      <a:ext cx="5614035" cy="5186045"/>
                    </a:xfrm>
                    <a:prstGeom prst="rect">
                      <a:avLst/>
                    </a:prstGeom>
                  </pic:spPr>
                </pic:pic>
              </a:graphicData>
            </a:graphic>
          </wp:inline>
        </w:drawing>
      </w:r>
    </w:p>
    <w:p>
      <w:pPr>
        <w:pStyle w:val="13"/>
        <w:ind w:right="960" w:firstLine="0" w:firstLineChars="0"/>
        <w:rPr>
          <w:rFonts w:hint="eastAsia" w:ascii="黑体" w:hAnsi="黑体" w:eastAsia="黑体"/>
          <w:sz w:val="24"/>
          <w:szCs w:val="24"/>
        </w:rPr>
      </w:pPr>
    </w:p>
    <w:p>
      <w:pPr>
        <w:pStyle w:val="13"/>
        <w:ind w:right="960" w:firstLine="0" w:firstLineChars="0"/>
        <w:rPr>
          <w:rFonts w:ascii="黑体" w:hAnsi="黑体" w:eastAsia="黑体"/>
          <w:sz w:val="24"/>
          <w:szCs w:val="24"/>
        </w:rPr>
      </w:pPr>
      <w:r>
        <w:rPr>
          <w:rFonts w:hint="eastAsia" w:ascii="黑体" w:hAnsi="黑体" w:eastAsia="黑体"/>
          <w:sz w:val="24"/>
          <w:szCs w:val="24"/>
        </w:rPr>
        <w:t>附件3</w:t>
      </w:r>
    </w:p>
    <w:p>
      <w:pPr>
        <w:spacing w:line="600" w:lineRule="exact"/>
        <w:contextualSpacing/>
        <w:jc w:val="center"/>
        <w:rPr>
          <w:rFonts w:hint="eastAsia" w:ascii="方正小标宋简体" w:hAnsi="宋体" w:eastAsia="方正小标宋简体"/>
          <w:sz w:val="36"/>
          <w:szCs w:val="36"/>
        </w:rPr>
      </w:pPr>
    </w:p>
    <w:p>
      <w:pPr>
        <w:spacing w:line="600" w:lineRule="exact"/>
        <w:contextualSpacing/>
        <w:jc w:val="center"/>
        <w:rPr>
          <w:rFonts w:ascii="方正小标宋简体" w:hAnsi="宋体" w:eastAsia="方正小标宋简体"/>
          <w:sz w:val="36"/>
          <w:szCs w:val="36"/>
        </w:rPr>
      </w:pPr>
      <w:bookmarkStart w:id="13" w:name="_GoBack"/>
      <w:bookmarkEnd w:id="13"/>
      <w:r>
        <w:rPr>
          <w:rFonts w:hint="eastAsia" w:ascii="方正小标宋简体" w:hAnsi="宋体" w:eastAsia="方正小标宋简体"/>
          <w:sz w:val="36"/>
          <w:szCs w:val="36"/>
        </w:rPr>
        <w:t>人乳头瘤病毒（</w:t>
      </w:r>
      <w:r>
        <w:rPr>
          <w:rFonts w:ascii="方正小标宋简体" w:hAnsi="宋体" w:eastAsia="方正小标宋简体"/>
          <w:sz w:val="36"/>
          <w:szCs w:val="36"/>
        </w:rPr>
        <w:t>HPV）核酸检测及基因分型</w:t>
      </w:r>
      <w:r>
        <w:rPr>
          <w:rFonts w:hint="eastAsia" w:ascii="方正小标宋简体" w:hAnsi="宋体" w:eastAsia="方正小标宋简体"/>
          <w:sz w:val="36"/>
          <w:szCs w:val="36"/>
        </w:rPr>
        <w:t>、</w:t>
      </w:r>
      <w:r>
        <w:rPr>
          <w:rFonts w:ascii="方正小标宋简体" w:hAnsi="宋体" w:eastAsia="方正小标宋简体"/>
          <w:sz w:val="36"/>
          <w:szCs w:val="36"/>
        </w:rPr>
        <w:t>试剂技术审查指导原则</w:t>
      </w:r>
    </w:p>
    <w:p>
      <w:pPr>
        <w:spacing w:line="400" w:lineRule="exact"/>
        <w:contextualSpacing/>
        <w:jc w:val="center"/>
        <w:rPr>
          <w:rFonts w:ascii="方正小标宋简体" w:hAnsi="宋体" w:eastAsia="方正小标宋简体"/>
          <w:sz w:val="36"/>
          <w:szCs w:val="36"/>
        </w:rPr>
      </w:pPr>
    </w:p>
    <w:p>
      <w:pPr>
        <w:spacing w:beforeLines="50" w:line="420" w:lineRule="exact"/>
        <w:ind w:firstLine="480" w:firstLineChars="200"/>
        <w:contextualSpacing/>
        <w:rPr>
          <w:rFonts w:eastAsia="仿宋_GB2312"/>
          <w:sz w:val="24"/>
          <w:szCs w:val="32"/>
        </w:rPr>
      </w:pPr>
      <w:r>
        <w:rPr>
          <w:rFonts w:hint="eastAsia" w:eastAsia="仿宋_GB2312"/>
          <w:sz w:val="24"/>
          <w:szCs w:val="32"/>
        </w:rPr>
        <w:t>本指导原则旨在指导注册申请人对人乳头瘤病毒（HPV）核酸检测及基因分型试剂注册申报资料的准备及撰写，同时也为技术审评部门审评注册申报资料提供参考。</w:t>
      </w:r>
    </w:p>
    <w:p>
      <w:pPr>
        <w:spacing w:line="420" w:lineRule="exact"/>
        <w:ind w:firstLine="480" w:firstLineChars="200"/>
        <w:contextualSpacing/>
        <w:rPr>
          <w:rFonts w:eastAsia="仿宋_GB2312"/>
          <w:sz w:val="24"/>
          <w:szCs w:val="32"/>
        </w:rPr>
      </w:pPr>
      <w:r>
        <w:rPr>
          <w:rFonts w:hint="eastAsia" w:eastAsia="仿宋_GB2312"/>
          <w:sz w:val="24"/>
          <w:szCs w:val="32"/>
        </w:rPr>
        <w:t>本指导原则是针对人乳头瘤病毒（HPV）核酸检测及基因分型试剂的一般要求，申请人应依据产品的具体特性确定其中内容是否适用，若不适用，需具体阐述理由及相应的科学依据，并依据产品的具体特性对注册申报资料的内容进行充实和细化。</w:t>
      </w:r>
    </w:p>
    <w:p>
      <w:pPr>
        <w:spacing w:line="420" w:lineRule="exact"/>
        <w:ind w:firstLine="480" w:firstLineChars="200"/>
        <w:contextualSpacing/>
        <w:rPr>
          <w:rFonts w:eastAsia="仿宋_GB2312"/>
          <w:sz w:val="24"/>
          <w:szCs w:val="32"/>
        </w:rPr>
      </w:pPr>
      <w:r>
        <w:rPr>
          <w:rFonts w:hint="eastAsia" w:eastAsia="仿宋_GB2312"/>
          <w:sz w:val="24"/>
          <w:szCs w:val="32"/>
        </w:rPr>
        <w:t>本指导原则是供申请人和审查人员使用的指导性文件，不涉及注册审批等行政事项，亦不作为法规强制执行，如有能够满足法规要求的其他方法，也可以采用，但应提供详细的研究资料和验证资料。应在遵循相关法规的前提下使用本指导原则。</w:t>
      </w:r>
    </w:p>
    <w:p>
      <w:pPr>
        <w:spacing w:line="420" w:lineRule="exact"/>
        <w:ind w:firstLine="480" w:firstLineChars="200"/>
        <w:contextualSpacing/>
        <w:rPr>
          <w:rFonts w:eastAsia="仿宋_GB2312"/>
          <w:sz w:val="24"/>
          <w:szCs w:val="32"/>
        </w:rPr>
      </w:pPr>
      <w:r>
        <w:rPr>
          <w:rFonts w:hint="eastAsia" w:eastAsia="仿宋_GB2312"/>
          <w:sz w:val="24"/>
          <w:szCs w:val="32"/>
        </w:rPr>
        <w:t>本指导原则是在现行法规、标准体系及当前认知水平下制定的，随着法规、标准的不断完善和科学技术的不断发展，本指导原则相关内容也将适时进行调整。</w:t>
      </w:r>
    </w:p>
    <w:p>
      <w:pPr>
        <w:spacing w:line="420" w:lineRule="exact"/>
        <w:ind w:firstLine="480" w:firstLineChars="200"/>
        <w:contextualSpacing/>
        <w:rPr>
          <w:rFonts w:ascii="黑体" w:eastAsia="黑体"/>
          <w:sz w:val="24"/>
          <w:szCs w:val="32"/>
        </w:rPr>
      </w:pPr>
      <w:r>
        <w:rPr>
          <w:rFonts w:hint="eastAsia" w:ascii="黑体" w:eastAsia="黑体"/>
          <w:sz w:val="24"/>
          <w:szCs w:val="32"/>
        </w:rPr>
        <w:t>一、范围</w:t>
      </w:r>
    </w:p>
    <w:p>
      <w:pPr>
        <w:spacing w:line="420" w:lineRule="exact"/>
        <w:ind w:firstLine="480" w:firstLineChars="200"/>
        <w:contextualSpacing/>
        <w:rPr>
          <w:rFonts w:eastAsia="仿宋_GB2312"/>
          <w:sz w:val="24"/>
          <w:szCs w:val="32"/>
        </w:rPr>
      </w:pPr>
      <w:r>
        <w:rPr>
          <w:rFonts w:hint="eastAsia" w:eastAsia="仿宋_GB2312"/>
          <w:sz w:val="24"/>
          <w:szCs w:val="32"/>
        </w:rPr>
        <w:t>人乳头瘤病毒（Human Papillomavirus, HPV）属于乳头瘤病毒科，是一种小分子的、无被膜包被的1、环状双链DNA病毒，基因组长约8000碱基对（bp），分为3个功能区，即早期转录区（E区）、晚期转录区（L区）和非转录区（长控制区，LCR）。HPV通过直接或间接接触污染物品或性传播感染人类。该病毒不但具有宿主特异性，而且具有组织特异性，只能感染人的皮肤和粘膜上皮细胞，引起人类皮肤的多种乳头状瘤或疣及生殖道上皮增生性损伤。</w:t>
      </w:r>
    </w:p>
    <w:p>
      <w:pPr>
        <w:spacing w:line="420" w:lineRule="exact"/>
        <w:ind w:firstLine="480" w:firstLineChars="200"/>
        <w:contextualSpacing/>
        <w:rPr>
          <w:rFonts w:eastAsia="仿宋_GB2312"/>
          <w:sz w:val="24"/>
          <w:szCs w:val="32"/>
        </w:rPr>
      </w:pPr>
      <w:r>
        <w:rPr>
          <w:rFonts w:hint="eastAsia" w:eastAsia="仿宋_GB2312"/>
          <w:sz w:val="24"/>
          <w:szCs w:val="32"/>
        </w:rPr>
        <w:t>对于感染生殖道和肛门的HPV，根据各基因型别致病力大小或致癌危险性大小可分为低危型和高危型两大类。在有性生活史的女性中生殖道HPV感染具有普遍性，据统计70%～80%的女性在其一生中会有至少一次的HPV感染，但大多数感染为自限性，超过90％的感染的女性会出现一种有效的免疫应答，在没有任何长期的健康干预时在6到24个月之间可以清除感染。而持续性的高危型HPV感染则是导致宫颈上皮内瘤变及宫颈癌的主要原因。全球范围的研究结果显示，在99.7%的宫颈癌患者体内检测到高危型HPV DNA的存在，其中HPV16型、18型、45型和31型感染占80%。低危型HPV一般与尖锐湿疣或低度鳞状上皮内病变相关，极少引起浸润癌。关于高危型与低危型的划分，国际上许多机构都给出了参考建议，依据WHO国际癌症研究机构（IARC）及其他国际组织的研究成果，本指导原则建议将</w:t>
      </w:r>
      <w:r>
        <w:rPr>
          <w:rFonts w:eastAsia="仿宋_GB2312"/>
          <w:sz w:val="24"/>
          <w:szCs w:val="32"/>
        </w:rPr>
        <w:t>HPV16、18、31、33、35、39、45、51、52、56、58、59、68</w:t>
      </w:r>
      <w:r>
        <w:rPr>
          <w:rFonts w:hint="eastAsia" w:eastAsia="仿宋_GB2312"/>
          <w:sz w:val="24"/>
          <w:szCs w:val="32"/>
        </w:rPr>
        <w:t>等13种基因型列为高危型别，</w:t>
      </w:r>
      <w:r>
        <w:rPr>
          <w:rFonts w:eastAsia="仿宋_GB2312"/>
          <w:sz w:val="24"/>
          <w:szCs w:val="32"/>
        </w:rPr>
        <w:t>26、53、66、73</w:t>
      </w:r>
      <w:r>
        <w:rPr>
          <w:rFonts w:hint="eastAsia" w:eastAsia="仿宋_GB2312"/>
          <w:sz w:val="24"/>
          <w:szCs w:val="32"/>
        </w:rPr>
        <w:t>、82等5种基因型列为中等风险型别，本指导原则中所述的检测试剂及其要求均只针对用于宫颈癌相关预期用途的（上述18种）HPV基因型核酸检测，如申报的宫颈癌相关HPV核酸检测产品涉及上述18种型别以外的其他HPV基因型，则申请人需提出明确的理由和依据，且应得到国际有关权威机构的文献支持。下文中述及“高危型”均泛指此18种HPV基因型。</w:t>
      </w:r>
    </w:p>
    <w:p>
      <w:pPr>
        <w:autoSpaceDE w:val="0"/>
        <w:autoSpaceDN w:val="0"/>
        <w:spacing w:line="420" w:lineRule="exact"/>
        <w:ind w:firstLine="480" w:firstLineChars="200"/>
        <w:contextualSpacing/>
        <w:rPr>
          <w:rFonts w:eastAsia="仿宋_GB2312"/>
          <w:sz w:val="24"/>
          <w:szCs w:val="32"/>
        </w:rPr>
      </w:pPr>
      <w:r>
        <w:rPr>
          <w:rFonts w:hint="eastAsia" w:eastAsia="仿宋_GB2312"/>
          <w:sz w:val="24"/>
          <w:szCs w:val="32"/>
        </w:rPr>
        <w:t>多年来，国际上通用的宫颈上皮内瘤变及宫颈癌的诊断主要遵循“三阶梯式”诊断程序，即宫颈细胞学、阴道镜及组织病理学检查。宫颈细胞学检查是普遍应用的宫颈上皮内瘤变及宫颈癌的筛查方法，可发现早期病变。但宫颈细胞学检查存在其固有的局限性。</w:t>
      </w:r>
      <w:bookmarkStart w:id="0" w:name="OLE_LINK2"/>
      <w:r>
        <w:rPr>
          <w:rFonts w:hint="eastAsia" w:eastAsia="仿宋_GB2312"/>
          <w:sz w:val="24"/>
          <w:szCs w:val="32"/>
        </w:rPr>
        <w:t>高危型HPV检测用于宫颈细胞学检查异常患者的分流及宫颈癌筛查，可有效地增加宫颈病变检出率，提高细胞学检查敏感性，并降低筛查频率。</w:t>
      </w:r>
      <w:bookmarkEnd w:id="0"/>
    </w:p>
    <w:p>
      <w:pPr>
        <w:spacing w:line="420" w:lineRule="exact"/>
        <w:ind w:firstLine="480" w:firstLineChars="200"/>
        <w:contextualSpacing/>
        <w:rPr>
          <w:rFonts w:eastAsia="仿宋_GB2312"/>
          <w:sz w:val="24"/>
          <w:szCs w:val="32"/>
        </w:rPr>
      </w:pPr>
      <w:r>
        <w:rPr>
          <w:rFonts w:hint="eastAsia" w:eastAsia="仿宋_GB2312"/>
          <w:sz w:val="24"/>
          <w:szCs w:val="32"/>
        </w:rPr>
        <w:t>本文所述人乳头瘤病毒（HPV）核酸检测及基因分型试剂是指利用包括PCR-荧光探针法或其他分子生物学方法在内的核酸检测技术，以特定高危型HPV核酸（包括DNA和RNA）序列为检测目的，对人宫颈样本(如人宫颈脱落上皮细胞或分泌物等)进行体外定性检测的试剂，以确定受试样本中是否存在高于阳性判断值水平的高危型HPV病毒，或同时鉴定感染HPV的基因型别。此类试剂在临床上用于：1）筛查宫颈细胞学检查为</w:t>
      </w:r>
      <w:r>
        <w:rPr>
          <w:rFonts w:eastAsia="仿宋_GB2312"/>
          <w:sz w:val="24"/>
          <w:szCs w:val="32"/>
        </w:rPr>
        <w:t>ASC-US（意义未确定的非典型鳞状上皮细胞）</w:t>
      </w:r>
      <w:r>
        <w:rPr>
          <w:rFonts w:hint="eastAsia" w:eastAsia="仿宋_GB2312"/>
          <w:sz w:val="24"/>
          <w:szCs w:val="32"/>
        </w:rPr>
        <w:t>结果的患者，以</w:t>
      </w:r>
      <w:r>
        <w:rPr>
          <w:rFonts w:eastAsia="仿宋_GB2312"/>
          <w:sz w:val="24"/>
          <w:szCs w:val="32"/>
        </w:rPr>
        <w:t>确定</w:t>
      </w:r>
      <w:r>
        <w:rPr>
          <w:rFonts w:hint="eastAsia" w:eastAsia="仿宋_GB2312"/>
          <w:sz w:val="24"/>
          <w:szCs w:val="32"/>
        </w:rPr>
        <w:t>是否需要进行</w:t>
      </w:r>
      <w:r>
        <w:rPr>
          <w:rFonts w:eastAsia="仿宋_GB2312"/>
          <w:sz w:val="24"/>
          <w:szCs w:val="32"/>
        </w:rPr>
        <w:t>阴道镜检查</w:t>
      </w:r>
      <w:r>
        <w:rPr>
          <w:rFonts w:hint="eastAsia" w:eastAsia="仿宋_GB2312"/>
          <w:sz w:val="24"/>
          <w:szCs w:val="32"/>
        </w:rPr>
        <w:t>（以下简称ASC-US人群分流用途）；2）</w:t>
      </w:r>
      <w:r>
        <w:rPr>
          <w:rFonts w:eastAsia="仿宋_GB2312"/>
          <w:sz w:val="24"/>
          <w:szCs w:val="32"/>
        </w:rPr>
        <w:t>对于30岁及以上的女性，</w:t>
      </w:r>
      <w:r>
        <w:rPr>
          <w:rFonts w:hint="eastAsia" w:eastAsia="仿宋_GB2312"/>
          <w:sz w:val="24"/>
          <w:szCs w:val="32"/>
        </w:rPr>
        <w:t>通过检测</w:t>
      </w:r>
      <w:r>
        <w:rPr>
          <w:rFonts w:eastAsia="仿宋_GB2312"/>
          <w:sz w:val="24"/>
          <w:szCs w:val="32"/>
        </w:rPr>
        <w:t>是否有高危</w:t>
      </w:r>
      <w:r>
        <w:rPr>
          <w:rFonts w:hint="eastAsia" w:eastAsia="仿宋_GB2312"/>
          <w:sz w:val="24"/>
          <w:szCs w:val="32"/>
        </w:rPr>
        <w:t>型</w:t>
      </w:r>
      <w:r>
        <w:rPr>
          <w:rFonts w:eastAsia="仿宋_GB2312"/>
          <w:sz w:val="24"/>
          <w:szCs w:val="32"/>
        </w:rPr>
        <w:t>HPV</w:t>
      </w:r>
      <w:r>
        <w:rPr>
          <w:rFonts w:hint="eastAsia" w:eastAsia="仿宋_GB2312"/>
          <w:sz w:val="24"/>
          <w:szCs w:val="32"/>
        </w:rPr>
        <w:t>感染，与宫颈细胞学检查联合进行宫颈癌筛查，此检测结合</w:t>
      </w:r>
      <w:r>
        <w:rPr>
          <w:rFonts w:eastAsia="仿宋_GB2312"/>
          <w:sz w:val="24"/>
          <w:szCs w:val="32"/>
        </w:rPr>
        <w:t>细胞学病史</w:t>
      </w:r>
      <w:r>
        <w:rPr>
          <w:rFonts w:hint="eastAsia" w:eastAsia="仿宋_GB2312"/>
          <w:sz w:val="24"/>
          <w:szCs w:val="32"/>
        </w:rPr>
        <w:t>和</w:t>
      </w:r>
      <w:r>
        <w:rPr>
          <w:rFonts w:eastAsia="仿宋_GB2312"/>
          <w:sz w:val="24"/>
          <w:szCs w:val="32"/>
        </w:rPr>
        <w:t>其他</w:t>
      </w:r>
      <w:r>
        <w:rPr>
          <w:rFonts w:hint="eastAsia" w:eastAsia="仿宋_GB2312"/>
          <w:sz w:val="24"/>
          <w:szCs w:val="32"/>
        </w:rPr>
        <w:t>风险因素的评估、</w:t>
      </w:r>
      <w:r>
        <w:rPr>
          <w:rFonts w:eastAsia="仿宋_GB2312"/>
          <w:sz w:val="24"/>
          <w:szCs w:val="32"/>
        </w:rPr>
        <w:t>以及</w:t>
      </w:r>
      <w:r>
        <w:rPr>
          <w:rFonts w:hint="eastAsia" w:eastAsia="仿宋_GB2312"/>
          <w:sz w:val="24"/>
          <w:szCs w:val="32"/>
        </w:rPr>
        <w:t>临床诊疗和筛查指南的要求，</w:t>
      </w:r>
      <w:r>
        <w:rPr>
          <w:rFonts w:eastAsia="仿宋_GB2312"/>
          <w:sz w:val="24"/>
          <w:szCs w:val="32"/>
        </w:rPr>
        <w:t>用于指导患者的</w:t>
      </w:r>
      <w:r>
        <w:rPr>
          <w:rFonts w:hint="eastAsia" w:eastAsia="仿宋_GB2312"/>
          <w:sz w:val="24"/>
          <w:szCs w:val="32"/>
        </w:rPr>
        <w:t>管理(以下简称宫颈癌联合筛查用途)；3）</w:t>
      </w:r>
      <w:bookmarkStart w:id="1" w:name="OLE_LINK1"/>
      <w:r>
        <w:rPr>
          <w:rFonts w:eastAsia="仿宋_GB2312"/>
          <w:sz w:val="24"/>
          <w:szCs w:val="32"/>
        </w:rPr>
        <w:t>对于</w:t>
      </w:r>
      <w:r>
        <w:rPr>
          <w:rFonts w:hint="eastAsia" w:eastAsia="仿宋_GB2312"/>
          <w:sz w:val="24"/>
          <w:szCs w:val="32"/>
        </w:rPr>
        <w:t>某年龄段（根据临床试验结果而定）</w:t>
      </w:r>
      <w:r>
        <w:rPr>
          <w:rFonts w:eastAsia="仿宋_GB2312"/>
          <w:sz w:val="24"/>
          <w:szCs w:val="32"/>
        </w:rPr>
        <w:t>女性，</w:t>
      </w:r>
      <w:r>
        <w:rPr>
          <w:rFonts w:hint="eastAsia" w:eastAsia="仿宋_GB2312"/>
          <w:sz w:val="24"/>
          <w:szCs w:val="32"/>
        </w:rPr>
        <w:t>通过检测</w:t>
      </w:r>
      <w:r>
        <w:rPr>
          <w:rFonts w:eastAsia="仿宋_GB2312"/>
          <w:sz w:val="24"/>
          <w:szCs w:val="32"/>
        </w:rPr>
        <w:t>是否有高危</w:t>
      </w:r>
      <w:r>
        <w:rPr>
          <w:rFonts w:hint="eastAsia" w:eastAsia="仿宋_GB2312"/>
          <w:sz w:val="24"/>
          <w:szCs w:val="32"/>
        </w:rPr>
        <w:t>型</w:t>
      </w:r>
      <w:r>
        <w:rPr>
          <w:rFonts w:eastAsia="仿宋_GB2312"/>
          <w:sz w:val="24"/>
          <w:szCs w:val="32"/>
        </w:rPr>
        <w:t>HPV</w:t>
      </w:r>
      <w:r>
        <w:rPr>
          <w:rFonts w:hint="eastAsia" w:eastAsia="仿宋_GB2312"/>
          <w:sz w:val="24"/>
          <w:szCs w:val="32"/>
        </w:rPr>
        <w:t>感染，进行宫颈癌筛查，此检测结合</w:t>
      </w:r>
      <w:r>
        <w:rPr>
          <w:rFonts w:eastAsia="仿宋_GB2312"/>
          <w:sz w:val="24"/>
          <w:szCs w:val="32"/>
        </w:rPr>
        <w:t>细胞学病史</w:t>
      </w:r>
      <w:r>
        <w:rPr>
          <w:rFonts w:hint="eastAsia" w:eastAsia="仿宋_GB2312"/>
          <w:sz w:val="24"/>
          <w:szCs w:val="32"/>
        </w:rPr>
        <w:t>和</w:t>
      </w:r>
      <w:r>
        <w:rPr>
          <w:rFonts w:eastAsia="仿宋_GB2312"/>
          <w:sz w:val="24"/>
          <w:szCs w:val="32"/>
        </w:rPr>
        <w:t>其他</w:t>
      </w:r>
      <w:r>
        <w:rPr>
          <w:rFonts w:hint="eastAsia" w:eastAsia="仿宋_GB2312"/>
          <w:sz w:val="24"/>
          <w:szCs w:val="32"/>
        </w:rPr>
        <w:t>风险因素的评估、</w:t>
      </w:r>
      <w:r>
        <w:rPr>
          <w:rFonts w:eastAsia="仿宋_GB2312"/>
          <w:sz w:val="24"/>
          <w:szCs w:val="32"/>
        </w:rPr>
        <w:t>以及</w:t>
      </w:r>
      <w:r>
        <w:rPr>
          <w:rFonts w:hint="eastAsia" w:eastAsia="仿宋_GB2312"/>
          <w:sz w:val="24"/>
          <w:szCs w:val="32"/>
        </w:rPr>
        <w:t>临床诊疗和筛查指南的要求，</w:t>
      </w:r>
      <w:r>
        <w:rPr>
          <w:rFonts w:eastAsia="仿宋_GB2312"/>
          <w:sz w:val="24"/>
          <w:szCs w:val="32"/>
        </w:rPr>
        <w:t>用于指导患者的</w:t>
      </w:r>
      <w:r>
        <w:rPr>
          <w:rFonts w:hint="eastAsia" w:eastAsia="仿宋_GB2312"/>
          <w:sz w:val="24"/>
          <w:szCs w:val="32"/>
        </w:rPr>
        <w:t>管理（以下简称宫颈癌初筛用途）</w:t>
      </w:r>
      <w:r>
        <w:rPr>
          <w:rFonts w:eastAsia="仿宋_GB2312"/>
          <w:sz w:val="24"/>
          <w:szCs w:val="32"/>
        </w:rPr>
        <w:t>。</w:t>
      </w:r>
      <w:bookmarkEnd w:id="1"/>
      <w:r>
        <w:rPr>
          <w:rFonts w:hint="eastAsia" w:eastAsia="仿宋_GB2312"/>
          <w:sz w:val="24"/>
          <w:szCs w:val="32"/>
        </w:rPr>
        <w:t>除此以外，若申请人提出其他的预期用途，则应详细描述相关的临床背景信息和该检测与临床用途的相关性，并在临床试验中充分验证相关的临床意义。本指导原则仅针对上述三种预期用途提出相关要求。</w:t>
      </w:r>
    </w:p>
    <w:p>
      <w:pPr>
        <w:spacing w:line="420" w:lineRule="exact"/>
        <w:ind w:firstLine="480" w:firstLineChars="200"/>
        <w:contextualSpacing/>
        <w:rPr>
          <w:rFonts w:eastAsia="仿宋_GB2312"/>
          <w:sz w:val="24"/>
          <w:szCs w:val="32"/>
        </w:rPr>
      </w:pPr>
      <w:r>
        <w:rPr>
          <w:rFonts w:hint="eastAsia" w:eastAsia="仿宋_GB2312"/>
          <w:sz w:val="24"/>
          <w:szCs w:val="32"/>
        </w:rPr>
        <w:t>这里所述的HPV核酸检测试剂是指可同时检测多种基因型HPV但不能对阳性结果进行基因分型的试剂，HPV基因分型试剂是指检测多种基因型HPV的同时可以对HPV阳性结果进行基因分型的试剂。</w:t>
      </w:r>
    </w:p>
    <w:p>
      <w:pPr>
        <w:spacing w:line="420" w:lineRule="exact"/>
        <w:ind w:firstLine="480" w:firstLineChars="200"/>
        <w:contextualSpacing/>
        <w:rPr>
          <w:rFonts w:eastAsia="仿宋_GB2312"/>
          <w:sz w:val="24"/>
          <w:szCs w:val="32"/>
        </w:rPr>
      </w:pPr>
      <w:r>
        <w:rPr>
          <w:rFonts w:hint="eastAsia" w:eastAsia="仿宋_GB2312"/>
          <w:sz w:val="24"/>
          <w:szCs w:val="32"/>
        </w:rPr>
        <w:t>关于本指导原则所述产品的预期用途还有以下几点需要强调。第一，在年龄＜</w:t>
      </w:r>
      <w:r>
        <w:rPr>
          <w:rFonts w:eastAsia="仿宋_GB2312"/>
          <w:sz w:val="24"/>
          <w:szCs w:val="32"/>
        </w:rPr>
        <w:t>30</w:t>
      </w:r>
      <w:r>
        <w:rPr>
          <w:rFonts w:hint="eastAsia" w:eastAsia="仿宋_GB2312"/>
          <w:sz w:val="24"/>
          <w:szCs w:val="32"/>
        </w:rPr>
        <w:t>岁的女性中，虽然</w:t>
      </w:r>
      <w:r>
        <w:rPr>
          <w:rFonts w:eastAsia="仿宋_GB2312"/>
          <w:sz w:val="24"/>
          <w:szCs w:val="32"/>
        </w:rPr>
        <w:t>HPV</w:t>
      </w:r>
      <w:r>
        <w:rPr>
          <w:rFonts w:hint="eastAsia" w:eastAsia="仿宋_GB2312"/>
          <w:sz w:val="24"/>
          <w:szCs w:val="32"/>
        </w:rPr>
        <w:t>感染率很高，但其自主清除率也很高，因此对于细胞学检查正常的受试者不建议再采用HPV检测做联合筛查，在经过临床试验证实的基础上亦可直接采用HPV检测作为初筛方法；此类HPV核酸检测试剂对不同年龄段人群的适用情况应符合相关宫颈癌筛查指南的要求。第二，HPV核酸检测试剂用于ASC-US人群分流或宫颈癌筛查时，其可覆盖的HPV基因型别应至少包含</w:t>
      </w:r>
      <w:r>
        <w:rPr>
          <w:rFonts w:eastAsia="仿宋_GB2312"/>
          <w:sz w:val="24"/>
          <w:szCs w:val="32"/>
        </w:rPr>
        <w:t>16、18、31、33、35、39、45、51、52、56、58、59</w:t>
      </w:r>
      <w:r>
        <w:rPr>
          <w:rFonts w:hint="eastAsia" w:eastAsia="仿宋_GB2312"/>
          <w:sz w:val="24"/>
          <w:szCs w:val="32"/>
        </w:rPr>
        <w:t>、68型（共13种），亦可同时包含</w:t>
      </w:r>
      <w:r>
        <w:rPr>
          <w:rFonts w:eastAsia="仿宋_GB2312"/>
          <w:sz w:val="24"/>
          <w:szCs w:val="32"/>
        </w:rPr>
        <w:t>26、53、66、73</w:t>
      </w:r>
      <w:r>
        <w:rPr>
          <w:rFonts w:hint="eastAsia" w:eastAsia="仿宋_GB2312"/>
          <w:sz w:val="24"/>
          <w:szCs w:val="32"/>
        </w:rPr>
        <w:t>、82型中的一个或数个型别；根据现有的研究成果，若可检测的HPV基因型别不能涵盖上述13种高危型，则可能造成阴性预期值无法达到临床要求，因此不建议单独用于上述预期用途。</w:t>
      </w:r>
      <w:r>
        <w:rPr>
          <w:rFonts w:hint="eastAsia" w:eastAsia="仿宋_GB2312"/>
          <w:b/>
          <w:sz w:val="28"/>
          <w:szCs w:val="28"/>
        </w:rPr>
        <w:t>对于基因分型试剂，目前的研究数据已证实16、18型的基因分型检测用于辅助（宫颈癌筛查中）HPV核酸检测阳性结果的分析，是有临床意义的，</w:t>
      </w:r>
      <w:r>
        <w:rPr>
          <w:rFonts w:hint="eastAsia" w:eastAsia="仿宋_GB2312"/>
          <w:sz w:val="24"/>
          <w:szCs w:val="32"/>
        </w:rPr>
        <w:t>可以进行注册申请，申请人应合理陈述预期用途，其性能评估和临床试验中适用于本指导原则的部分应参照执行；但应注意：并非所有HPV基因型的分型检测均有确定的临床意义，申请人在研发HPV基因分型检测试剂时应以临床研究结果为基础，而不应盲目扩大分型范围。第三，低危型HPV一般与尖锐湿疣或低度鳞状上皮内病变相关，但其检测的临床价值尚不明确，若申请人提出相关产品注册，则应详细解释其临床意义和适应症，并提供充分的证据。第四，</w:t>
      </w:r>
      <w:bookmarkStart w:id="2" w:name="OLE_LINK3"/>
      <w:r>
        <w:rPr>
          <w:rFonts w:hint="eastAsia" w:eastAsia="仿宋_GB2312"/>
          <w:sz w:val="24"/>
          <w:szCs w:val="32"/>
        </w:rPr>
        <w:t>鉴于此类试剂的样本采集方法不利于量值溯源，无法保证定量检测结果的准确性，因此建议检测试剂定位为定性检测</w:t>
      </w:r>
      <w:bookmarkEnd w:id="2"/>
      <w:r>
        <w:rPr>
          <w:rFonts w:hint="eastAsia" w:eastAsia="仿宋_GB2312"/>
          <w:sz w:val="24"/>
          <w:szCs w:val="32"/>
        </w:rPr>
        <w:t>，本指导原则不适用于进行定量或半定量HPV核酸检测试剂的注册；最后，本指导原则只针对与宫颈上皮内瘤变及宫颈癌相关的高危型HPV检测，不适用于除宫颈样本外其他样本类型的检测。</w:t>
      </w:r>
    </w:p>
    <w:p>
      <w:pPr>
        <w:spacing w:line="420" w:lineRule="exact"/>
        <w:ind w:firstLine="480" w:firstLineChars="200"/>
        <w:contextualSpacing/>
        <w:rPr>
          <w:rFonts w:eastAsia="仿宋_GB2312"/>
          <w:sz w:val="24"/>
          <w:szCs w:val="32"/>
        </w:rPr>
      </w:pPr>
      <w:r>
        <w:rPr>
          <w:rFonts w:hint="eastAsia" w:eastAsia="仿宋_GB2312"/>
          <w:sz w:val="24"/>
          <w:szCs w:val="32"/>
        </w:rPr>
        <w:t>本指导原则适用的检测方法主要指基于核酸检测的分子生物学技术。现有HPV核酸检测技术主要包括杂交捕获法、酶切信号放大法、PCR-荧光探针法、转录介导的核酸扩增技术以及PCR-杂交法等。这些方法在性能评价上可能会略有差异，但在技术指标方面均适用于本指导原则，以下有关注册申报资料的要求主要针对PCR-荧光探针法提出，其他方法学试剂应针对产品自身特点进行相应补充或修正。</w:t>
      </w:r>
    </w:p>
    <w:p>
      <w:pPr>
        <w:spacing w:line="420" w:lineRule="exact"/>
        <w:ind w:firstLine="480" w:firstLineChars="200"/>
        <w:contextualSpacing/>
        <w:rPr>
          <w:rFonts w:eastAsia="仿宋_GB2312"/>
          <w:sz w:val="24"/>
          <w:szCs w:val="32"/>
        </w:rPr>
      </w:pPr>
      <w:r>
        <w:rPr>
          <w:rFonts w:hint="eastAsia" w:eastAsia="仿宋_GB2312"/>
          <w:sz w:val="24"/>
          <w:szCs w:val="32"/>
        </w:rPr>
        <w:t>由于宫颈癌筛查涉及面广，故由假阴性和假阳性HPV检测结果引起的潜在公共卫生损害风险较为显著。假阴性结果可能导致宫颈癌诊断和治疗不及时，假阳性结果可能导致不必要的频繁筛查和侵袭性处置。因此，确立良好的性能指标并充分理解HPV检测的临床意义，对于此类产品的安全有效性评价至关重要。产品性能如不符合临床需求，可能导致对患者所作的决策错误。总体来说，此类试剂分析及临床性能的评价应有严格的控制，同时亦应重点关注临床的合理应用和检测结果的科学解释。</w:t>
      </w:r>
    </w:p>
    <w:p>
      <w:pPr>
        <w:spacing w:line="420" w:lineRule="exact"/>
        <w:ind w:firstLine="480" w:firstLineChars="200"/>
        <w:contextualSpacing/>
        <w:rPr>
          <w:rFonts w:eastAsia="仿宋_GB2312"/>
          <w:sz w:val="24"/>
          <w:szCs w:val="32"/>
        </w:rPr>
      </w:pPr>
      <w:r>
        <w:rPr>
          <w:rFonts w:hint="eastAsia" w:eastAsia="仿宋_GB2312"/>
          <w:sz w:val="24"/>
          <w:szCs w:val="32"/>
        </w:rPr>
        <w:t>本指导原则仅包括对人乳头瘤病毒（HPV）核酸检测及基因分型试剂注册申报资料中部分项目的要求，适用于进行产品注册和相关许可事项变更的产品。其他未尽事宜（包括产品风险分析资料等），应当符合《体外诊断试剂注册管理办法》（总局令第5号）（以下简称《办法》）等相关法规和文件的要求。</w:t>
      </w:r>
    </w:p>
    <w:p>
      <w:pPr>
        <w:spacing w:line="200" w:lineRule="exact"/>
        <w:ind w:firstLine="480" w:firstLineChars="200"/>
        <w:contextualSpacing/>
        <w:rPr>
          <w:rFonts w:ascii="黑体" w:eastAsia="黑体"/>
          <w:sz w:val="24"/>
          <w:szCs w:val="32"/>
        </w:rPr>
      </w:pPr>
    </w:p>
    <w:p>
      <w:pPr>
        <w:spacing w:line="420" w:lineRule="exact"/>
        <w:ind w:firstLine="480" w:firstLineChars="200"/>
        <w:contextualSpacing/>
        <w:rPr>
          <w:rFonts w:ascii="黑体" w:eastAsia="黑体"/>
          <w:sz w:val="24"/>
          <w:szCs w:val="32"/>
        </w:rPr>
      </w:pPr>
      <w:r>
        <w:rPr>
          <w:rFonts w:hint="eastAsia" w:ascii="黑体" w:eastAsia="黑体"/>
          <w:sz w:val="24"/>
          <w:szCs w:val="32"/>
        </w:rPr>
        <w:t>二、注册申报资料要求</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（一）综述资料</w:t>
      </w:r>
    </w:p>
    <w:p>
      <w:pPr>
        <w:autoSpaceDE w:val="0"/>
        <w:autoSpaceDN w:val="0"/>
        <w:spacing w:line="420" w:lineRule="exact"/>
        <w:ind w:firstLine="480" w:firstLineChars="200"/>
        <w:contextualSpacing/>
        <w:rPr>
          <w:rFonts w:eastAsia="仿宋_GB2312"/>
          <w:sz w:val="24"/>
          <w:szCs w:val="32"/>
        </w:rPr>
      </w:pPr>
      <w:r>
        <w:rPr>
          <w:rFonts w:hint="eastAsia" w:eastAsia="仿宋_GB2312"/>
          <w:sz w:val="24"/>
          <w:szCs w:val="32"/>
        </w:rPr>
        <w:t>此类产品的综述资料中，与预期用途相关的临床适应征背景情况的描述应着重于高危型HPV核酸检测和宫颈癌之间的相关性，及HPV检测临床应用的限定要求，陈述应科学、客观且有依据。与国内外同类产品的比较内容应着重从方法学及HPV基因型检出能力等方面进行比较。综述资料的撰写应符合《办法》和《体外诊断试剂注册申报资料要求及说明》（总局公告2014年第44号）（以下简称44号公告）的相关要求。</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（二）主要原材料研究资料</w:t>
      </w:r>
    </w:p>
    <w:p>
      <w:pPr>
        <w:spacing w:line="420" w:lineRule="exact"/>
        <w:ind w:firstLine="480" w:firstLineChars="200"/>
        <w:contextualSpacing/>
        <w:rPr>
          <w:rFonts w:eastAsia="仿宋_GB2312"/>
          <w:sz w:val="24"/>
          <w:szCs w:val="32"/>
        </w:rPr>
      </w:pPr>
      <w:r>
        <w:rPr>
          <w:rFonts w:hint="eastAsia" w:eastAsia="仿宋_GB2312"/>
          <w:sz w:val="24"/>
          <w:szCs w:val="32"/>
        </w:rPr>
        <w:t>此类产品的主要原材料包括引物、探针、酶、</w:t>
      </w:r>
      <w:r>
        <w:rPr>
          <w:rFonts w:eastAsia="仿宋_GB2312"/>
          <w:sz w:val="24"/>
          <w:szCs w:val="32"/>
        </w:rPr>
        <w:t>dNTP</w:t>
      </w:r>
      <w:r>
        <w:rPr>
          <w:rFonts w:hint="eastAsia" w:eastAsia="仿宋_GB2312"/>
          <w:sz w:val="24"/>
          <w:szCs w:val="32"/>
        </w:rPr>
        <w:t>、核酸分离/纯化组分（如有）及企业参考品、试剂盒对照品（质控品）等。应提供主要原材料的选择与来源、制备及质量标准等的研究资料、对照品（质控品）的定值试验资料等。</w:t>
      </w:r>
    </w:p>
    <w:p>
      <w:pPr>
        <w:spacing w:line="420" w:lineRule="exact"/>
        <w:ind w:firstLine="480" w:firstLineChars="200"/>
        <w:contextualSpacing/>
        <w:rPr>
          <w:rFonts w:eastAsia="仿宋_GB2312"/>
          <w:sz w:val="24"/>
          <w:szCs w:val="32"/>
        </w:rPr>
      </w:pPr>
      <w:r>
        <w:rPr>
          <w:rFonts w:hint="eastAsia" w:eastAsia="仿宋_GB2312"/>
          <w:sz w:val="24"/>
          <w:szCs w:val="32"/>
        </w:rPr>
        <w:t>1.引物和探针：应详述引物和探针的设计原则，提供引物、探针核酸序列、模板核酸序列及两者的对应情况。建议设计两套或多套引物、探针以供筛选，针对所有预期适用的HPV基因型别进行检出能力和特异性（如交叉反应）的评价，选择最佳组合，并提交筛选的研究数据。引物、探针的质量标准应至少包括纯度检查、浓度检查及功能性实验等。</w:t>
      </w:r>
    </w:p>
    <w:p>
      <w:pPr>
        <w:spacing w:line="420" w:lineRule="exact"/>
        <w:ind w:firstLine="480" w:firstLineChars="200"/>
        <w:contextualSpacing/>
        <w:rPr>
          <w:rFonts w:eastAsia="仿宋_GB2312"/>
          <w:sz w:val="24"/>
          <w:szCs w:val="32"/>
        </w:rPr>
      </w:pPr>
      <w:r>
        <w:rPr>
          <w:rFonts w:hint="eastAsia" w:eastAsia="仿宋_GB2312"/>
          <w:sz w:val="24"/>
          <w:szCs w:val="32"/>
        </w:rPr>
        <w:t>2.酶：需要的酶主要包括</w:t>
      </w:r>
      <w:r>
        <w:rPr>
          <w:rFonts w:eastAsia="仿宋_GB2312"/>
          <w:sz w:val="24"/>
          <w:szCs w:val="32"/>
        </w:rPr>
        <w:t>DNA</w:t>
      </w:r>
      <w:r>
        <w:rPr>
          <w:rFonts w:hint="eastAsia" w:eastAsia="仿宋_GB2312"/>
          <w:sz w:val="24"/>
          <w:szCs w:val="32"/>
        </w:rPr>
        <w:t>聚合酶，其质量标准应包括</w:t>
      </w:r>
      <w:r>
        <w:rPr>
          <w:rFonts w:eastAsia="仿宋_GB2312"/>
          <w:sz w:val="24"/>
          <w:szCs w:val="32"/>
        </w:rPr>
        <w:t>DNA</w:t>
      </w:r>
      <w:r>
        <w:rPr>
          <w:rFonts w:hint="eastAsia" w:eastAsia="仿宋_GB2312"/>
          <w:sz w:val="24"/>
          <w:szCs w:val="32"/>
        </w:rPr>
        <w:t>聚合酶活性、核酸内切酶活性、热启动能力、热稳定性等；还可能涉及尿嘧啶DNA糖基化酶（UDG/</w:t>
      </w:r>
      <w:r>
        <w:rPr>
          <w:rFonts w:eastAsia="仿宋_GB2312"/>
          <w:sz w:val="24"/>
          <w:szCs w:val="32"/>
        </w:rPr>
        <w:t>UNG</w:t>
      </w:r>
      <w:r>
        <w:rPr>
          <w:rFonts w:hint="eastAsia" w:eastAsia="仿宋_GB2312"/>
          <w:sz w:val="24"/>
          <w:szCs w:val="32"/>
        </w:rPr>
        <w:t>）和逆转录酶，亦应分别对其酶活性等进行评价和验证。</w:t>
      </w:r>
    </w:p>
    <w:p>
      <w:pPr>
        <w:spacing w:line="420" w:lineRule="exact"/>
        <w:ind w:firstLine="480" w:firstLineChars="200"/>
        <w:contextualSpacing/>
        <w:rPr>
          <w:rFonts w:eastAsia="仿宋_GB2312"/>
          <w:sz w:val="24"/>
          <w:szCs w:val="32"/>
        </w:rPr>
      </w:pPr>
      <w:r>
        <w:rPr>
          <w:rFonts w:hint="eastAsia" w:eastAsia="仿宋_GB2312"/>
          <w:sz w:val="24"/>
          <w:szCs w:val="32"/>
        </w:rPr>
        <w:t>3.</w:t>
      </w:r>
      <w:r>
        <w:rPr>
          <w:rFonts w:eastAsia="仿宋_GB2312"/>
          <w:sz w:val="24"/>
          <w:szCs w:val="32"/>
        </w:rPr>
        <w:t xml:space="preserve"> dNTP</w:t>
      </w:r>
      <w:r>
        <w:rPr>
          <w:rFonts w:hint="eastAsia" w:eastAsia="仿宋_GB2312"/>
          <w:sz w:val="24"/>
          <w:szCs w:val="32"/>
        </w:rPr>
        <w:t>：质量标准应至少包括纯度检查及功能性实验等。</w:t>
      </w:r>
    </w:p>
    <w:p>
      <w:pPr>
        <w:spacing w:line="420" w:lineRule="exact"/>
        <w:ind w:firstLine="480" w:firstLineChars="200"/>
        <w:contextualSpacing/>
        <w:rPr>
          <w:rFonts w:eastAsia="仿宋_GB2312"/>
          <w:sz w:val="24"/>
          <w:szCs w:val="32"/>
        </w:rPr>
      </w:pPr>
      <w:r>
        <w:rPr>
          <w:rFonts w:hint="eastAsia" w:eastAsia="仿宋_GB2312"/>
          <w:sz w:val="24"/>
          <w:szCs w:val="32"/>
        </w:rPr>
        <w:t>4.若主要原材料为企业自己生产，其生产工艺必须相对稳定，并提交生产工艺验证报告；如主要原材料购自其他供应商，则需针对供应商的选择提供评价数据，并提供供应商出具的质量标准、出厂检定报告，以及申请人对该原材料进行的质量检验资料。</w:t>
      </w:r>
    </w:p>
    <w:p>
      <w:pPr>
        <w:spacing w:line="420" w:lineRule="exact"/>
        <w:ind w:firstLine="480" w:firstLineChars="200"/>
        <w:contextualSpacing/>
        <w:rPr>
          <w:rFonts w:eastAsia="仿宋_GB2312"/>
          <w:sz w:val="24"/>
          <w:szCs w:val="32"/>
        </w:rPr>
      </w:pPr>
      <w:r>
        <w:rPr>
          <w:rFonts w:hint="eastAsia" w:eastAsia="仿宋_GB2312"/>
          <w:sz w:val="24"/>
          <w:szCs w:val="32"/>
        </w:rPr>
        <w:t>5.企业参考品：应详细说明有关企业参考品的原料选择、制备、定值过程等试验资料。</w:t>
      </w:r>
    </w:p>
    <w:p>
      <w:pPr>
        <w:spacing w:line="420" w:lineRule="exact"/>
        <w:ind w:firstLine="480" w:firstLineChars="200"/>
        <w:contextualSpacing/>
        <w:rPr>
          <w:rFonts w:eastAsia="仿宋_GB2312"/>
          <w:sz w:val="24"/>
          <w:szCs w:val="32"/>
        </w:rPr>
      </w:pPr>
      <w:r>
        <w:rPr>
          <w:rFonts w:hint="eastAsia" w:eastAsia="仿宋_GB2312"/>
          <w:sz w:val="24"/>
          <w:szCs w:val="32"/>
        </w:rPr>
        <w:t>企业参考品的核酸性质（DNA或RNA）应与产品预期检测的靶物质一致。鉴于HPV病毒尚不能体外培养，企业参考品可采用感染HPV的细胞系，也可采用人工克隆或合成的HPV基因组DNA（或转录RNA）等。具体要求如下：</w:t>
      </w:r>
    </w:p>
    <w:p>
      <w:pPr>
        <w:spacing w:line="420" w:lineRule="exact"/>
        <w:ind w:firstLine="480" w:firstLineChars="200"/>
        <w:rPr>
          <w:rFonts w:eastAsia="仿宋_GB2312"/>
          <w:sz w:val="24"/>
          <w:szCs w:val="32"/>
        </w:rPr>
      </w:pPr>
      <w:r>
        <w:rPr>
          <w:rFonts w:hint="eastAsia" w:eastAsia="仿宋_GB2312"/>
          <w:sz w:val="24"/>
          <w:szCs w:val="32"/>
        </w:rPr>
        <w:t>5.1阳性参考品和阴性参考品</w:t>
      </w:r>
    </w:p>
    <w:p>
      <w:pPr>
        <w:spacing w:line="420" w:lineRule="exact"/>
        <w:ind w:firstLine="480" w:firstLineChars="200"/>
        <w:rPr>
          <w:rFonts w:eastAsia="仿宋_GB2312"/>
          <w:sz w:val="24"/>
          <w:szCs w:val="32"/>
        </w:rPr>
      </w:pPr>
      <w:r>
        <w:rPr>
          <w:rFonts w:hint="eastAsia" w:eastAsia="仿宋_GB2312"/>
          <w:sz w:val="24"/>
          <w:szCs w:val="32"/>
        </w:rPr>
        <w:t>无论试剂盒能否进行HPV基因分型，阳性参考品均应针对所有适用的HPV基因型分别设置。阴性参考品应考虑检测特异性的评价，适当纳入其他HPV基因型样品和其他病原体样品。</w:t>
      </w:r>
    </w:p>
    <w:p>
      <w:pPr>
        <w:spacing w:line="420" w:lineRule="exact"/>
        <w:ind w:firstLine="480" w:firstLineChars="200"/>
        <w:contextualSpacing/>
        <w:rPr>
          <w:rFonts w:eastAsia="仿宋_GB2312"/>
          <w:sz w:val="24"/>
          <w:szCs w:val="32"/>
        </w:rPr>
      </w:pPr>
      <w:r>
        <w:rPr>
          <w:rFonts w:hint="eastAsia" w:eastAsia="仿宋_GB2312"/>
          <w:sz w:val="24"/>
          <w:szCs w:val="32"/>
        </w:rPr>
        <w:t>5.2 检测限参考品</w:t>
      </w:r>
    </w:p>
    <w:p>
      <w:pPr>
        <w:widowControl/>
        <w:spacing w:line="420" w:lineRule="exact"/>
        <w:ind w:firstLine="480" w:firstLineChars="200"/>
        <w:rPr>
          <w:rFonts w:eastAsia="仿宋_GB2312"/>
          <w:sz w:val="24"/>
          <w:szCs w:val="32"/>
        </w:rPr>
      </w:pPr>
      <w:r>
        <w:rPr>
          <w:rFonts w:hint="eastAsia" w:eastAsia="仿宋_GB2312"/>
          <w:sz w:val="24"/>
          <w:szCs w:val="32"/>
        </w:rPr>
        <w:t>可选择检测限浓度或略高于检测限浓度，并针对不同基因型分别设置。</w:t>
      </w:r>
    </w:p>
    <w:p>
      <w:pPr>
        <w:widowControl/>
        <w:spacing w:line="420" w:lineRule="exact"/>
        <w:ind w:firstLine="480" w:firstLineChars="200"/>
        <w:rPr>
          <w:rFonts w:eastAsia="仿宋_GB2312"/>
          <w:sz w:val="24"/>
          <w:szCs w:val="32"/>
        </w:rPr>
      </w:pPr>
      <w:r>
        <w:rPr>
          <w:rFonts w:hint="eastAsia" w:eastAsia="仿宋_GB2312"/>
          <w:sz w:val="24"/>
          <w:szCs w:val="32"/>
        </w:rPr>
        <w:t>5.3 精密度参考品</w:t>
      </w:r>
    </w:p>
    <w:p>
      <w:pPr>
        <w:widowControl/>
        <w:spacing w:line="420" w:lineRule="exact"/>
        <w:ind w:firstLine="480" w:firstLineChars="200"/>
        <w:rPr>
          <w:rFonts w:eastAsia="仿宋_GB2312"/>
          <w:sz w:val="24"/>
          <w:szCs w:val="32"/>
        </w:rPr>
      </w:pPr>
      <w:r>
        <w:rPr>
          <w:rFonts w:hint="eastAsia" w:eastAsia="仿宋_GB2312"/>
          <w:sz w:val="24"/>
          <w:szCs w:val="32"/>
        </w:rPr>
        <w:t>可不包含所有涉及的HPV基因型，但应选择临床较常见的或风险程度较高的基因型（至少包含16或18型），并至少设置一个弱阳性水平。</w:t>
      </w:r>
    </w:p>
    <w:p>
      <w:pPr>
        <w:spacing w:line="420" w:lineRule="exact"/>
        <w:ind w:firstLine="480" w:firstLineChars="200"/>
        <w:contextualSpacing/>
        <w:rPr>
          <w:rFonts w:eastAsia="仿宋_GB2312"/>
          <w:sz w:val="24"/>
          <w:szCs w:val="32"/>
        </w:rPr>
      </w:pPr>
      <w:r>
        <w:rPr>
          <w:rFonts w:hint="eastAsia" w:eastAsia="仿宋_GB2312"/>
          <w:sz w:val="24"/>
          <w:szCs w:val="32"/>
        </w:rPr>
        <w:t>6.试剂盒对照品（质控品）</w:t>
      </w:r>
    </w:p>
    <w:p>
      <w:pPr>
        <w:spacing w:line="420" w:lineRule="exact"/>
        <w:ind w:firstLine="480" w:firstLineChars="200"/>
        <w:contextualSpacing/>
        <w:rPr>
          <w:rFonts w:eastAsia="仿宋_GB2312"/>
          <w:sz w:val="24"/>
          <w:szCs w:val="32"/>
        </w:rPr>
      </w:pPr>
      <w:r>
        <w:rPr>
          <w:rFonts w:hint="eastAsia" w:eastAsia="仿宋_GB2312"/>
          <w:sz w:val="24"/>
          <w:szCs w:val="32"/>
        </w:rPr>
        <w:t>试剂盒的质控体系通过设置各种试剂盒对照品（质控品）来实现。阳性对照品（质控品）的核酸性质应与待测样本的靶核酸性质一致，如同为</w:t>
      </w:r>
      <w:r>
        <w:rPr>
          <w:rFonts w:eastAsia="仿宋_GB2312"/>
          <w:sz w:val="24"/>
          <w:szCs w:val="32"/>
        </w:rPr>
        <w:t>DNA</w:t>
      </w:r>
      <w:r>
        <w:rPr>
          <w:rFonts w:hint="eastAsia" w:eastAsia="仿宋_GB2312"/>
          <w:sz w:val="24"/>
          <w:szCs w:val="32"/>
        </w:rPr>
        <w:t>或</w:t>
      </w:r>
      <w:r>
        <w:rPr>
          <w:rFonts w:eastAsia="仿宋_GB2312"/>
          <w:sz w:val="24"/>
          <w:szCs w:val="32"/>
        </w:rPr>
        <w:t>RNA</w:t>
      </w:r>
      <w:r>
        <w:rPr>
          <w:rFonts w:hint="eastAsia" w:eastAsia="仿宋_GB2312"/>
          <w:sz w:val="24"/>
          <w:szCs w:val="32"/>
        </w:rPr>
        <w:t>，其中可不包含所有涉及的HPV基因型，但应选择临床较常见的或风险程度较高的基因型，并至少包含16或18型。阴性对照品（质控品）应参与样本处理和检测的全过程，如核酸的平行提取等步骤。企业应对阳性对照品（质控品）的检测结果（如Ct值）做出明确的范围要求。</w:t>
      </w:r>
    </w:p>
    <w:p>
      <w:pPr>
        <w:spacing w:line="420" w:lineRule="exact"/>
        <w:ind w:firstLine="480" w:firstLineChars="200"/>
        <w:contextualSpacing/>
        <w:rPr>
          <w:rFonts w:eastAsia="仿宋_GB2312"/>
          <w:sz w:val="24"/>
          <w:szCs w:val="32"/>
        </w:rPr>
      </w:pPr>
      <w:r>
        <w:rPr>
          <w:rFonts w:hint="eastAsia" w:eastAsia="仿宋_GB2312"/>
          <w:sz w:val="24"/>
          <w:szCs w:val="32"/>
        </w:rPr>
        <w:t>内对照（内标）可以对管内抑制导致的假阴性结果进行质量控制，申请人应对内对照（内标）的引物、探针设计和模板浓度做精确验证，既要保证内标荧光通道呈明显的阳性曲线又要尽量降低对靶基因检测造成的抑制。对内对照的检测结果（如Ct值）亦应做出明确的范围要求。</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（三）主要生产工艺及反应体系的研究资料</w:t>
      </w:r>
    </w:p>
    <w:p>
      <w:pPr>
        <w:spacing w:line="420" w:lineRule="exact"/>
        <w:ind w:firstLine="480" w:firstLineChars="200"/>
        <w:contextualSpacing/>
        <w:rPr>
          <w:rFonts w:eastAsia="仿宋_GB2312"/>
          <w:sz w:val="24"/>
          <w:szCs w:val="32"/>
        </w:rPr>
      </w:pPr>
      <w:r>
        <w:rPr>
          <w:rFonts w:hint="eastAsia" w:eastAsia="仿宋_GB2312"/>
          <w:sz w:val="24"/>
          <w:szCs w:val="32"/>
        </w:rPr>
        <w:t>1.介绍产品主要生产工艺，可以图表方式表示，并说明主要生产工艺的确定依据。</w:t>
      </w:r>
    </w:p>
    <w:p>
      <w:pPr>
        <w:spacing w:line="420" w:lineRule="exact"/>
        <w:ind w:firstLine="480" w:firstLineChars="200"/>
        <w:contextualSpacing/>
        <w:rPr>
          <w:rFonts w:eastAsia="仿宋_GB2312"/>
          <w:sz w:val="24"/>
          <w:szCs w:val="32"/>
        </w:rPr>
      </w:pPr>
      <w:r>
        <w:rPr>
          <w:rFonts w:hint="eastAsia" w:eastAsia="仿宋_GB2312"/>
          <w:sz w:val="24"/>
          <w:szCs w:val="32"/>
        </w:rPr>
        <w:t>2.反应原理介绍。</w:t>
      </w:r>
    </w:p>
    <w:p>
      <w:pPr>
        <w:spacing w:line="420" w:lineRule="exact"/>
        <w:ind w:firstLine="480" w:firstLineChars="200"/>
        <w:contextualSpacing/>
        <w:rPr>
          <w:rFonts w:eastAsia="仿宋_GB2312"/>
          <w:sz w:val="24"/>
          <w:szCs w:val="32"/>
        </w:rPr>
      </w:pPr>
      <w:r>
        <w:rPr>
          <w:rFonts w:hint="eastAsia" w:eastAsia="仿宋_GB2312"/>
          <w:sz w:val="24"/>
          <w:szCs w:val="32"/>
        </w:rPr>
        <w:t>3.详述样本收集液、样本处理方式的选择和设置，提供相关的研究资料。</w:t>
      </w:r>
    </w:p>
    <w:p>
      <w:pPr>
        <w:spacing w:line="420" w:lineRule="exact"/>
        <w:ind w:firstLine="480" w:firstLineChars="200"/>
        <w:contextualSpacing/>
        <w:rPr>
          <w:rFonts w:eastAsia="仿宋_GB2312"/>
          <w:sz w:val="24"/>
          <w:szCs w:val="32"/>
        </w:rPr>
      </w:pPr>
      <w:r>
        <w:rPr>
          <w:rFonts w:hint="eastAsia" w:eastAsia="仿宋_GB2312"/>
          <w:sz w:val="24"/>
          <w:szCs w:val="32"/>
        </w:rPr>
        <w:t>4.确定最佳反应体系的研究资料，包括酶浓度、引物</w:t>
      </w:r>
      <w:r>
        <w:rPr>
          <w:rFonts w:eastAsia="仿宋_GB2312"/>
          <w:sz w:val="24"/>
          <w:szCs w:val="32"/>
        </w:rPr>
        <w:t>/</w:t>
      </w:r>
      <w:r>
        <w:rPr>
          <w:rFonts w:hint="eastAsia" w:eastAsia="仿宋_GB2312"/>
          <w:sz w:val="24"/>
          <w:szCs w:val="32"/>
        </w:rPr>
        <w:t>探针浓度、</w:t>
      </w:r>
      <w:r>
        <w:rPr>
          <w:rFonts w:eastAsia="仿宋_GB2312"/>
          <w:sz w:val="24"/>
          <w:szCs w:val="32"/>
        </w:rPr>
        <w:t>dNTP</w:t>
      </w:r>
      <w:r>
        <w:rPr>
          <w:rFonts w:hint="eastAsia" w:eastAsia="仿宋_GB2312"/>
          <w:sz w:val="24"/>
          <w:szCs w:val="32"/>
        </w:rPr>
        <w:t>浓度、阳离子浓度及反应各阶段温度、时间、循环数等。</w:t>
      </w:r>
    </w:p>
    <w:p>
      <w:pPr>
        <w:spacing w:line="420" w:lineRule="exact"/>
        <w:ind w:firstLine="480" w:firstLineChars="200"/>
        <w:contextualSpacing/>
        <w:rPr>
          <w:rFonts w:eastAsia="仿宋_GB2312"/>
          <w:sz w:val="24"/>
          <w:szCs w:val="32"/>
        </w:rPr>
      </w:pPr>
      <w:r>
        <w:rPr>
          <w:rFonts w:hint="eastAsia" w:eastAsia="仿宋_GB2312"/>
          <w:sz w:val="24"/>
          <w:szCs w:val="32"/>
        </w:rPr>
        <w:t>5.不同适用机型的反应条件如果有差异应分别详述，并提交验证资料。</w:t>
      </w:r>
    </w:p>
    <w:p>
      <w:pPr>
        <w:spacing w:line="420" w:lineRule="exact"/>
        <w:ind w:firstLine="480" w:firstLineChars="200"/>
        <w:contextualSpacing/>
        <w:rPr>
          <w:rFonts w:eastAsia="仿宋_GB2312"/>
          <w:sz w:val="24"/>
          <w:szCs w:val="32"/>
        </w:rPr>
      </w:pPr>
      <w:r>
        <w:rPr>
          <w:rFonts w:hint="eastAsia" w:eastAsia="仿宋_GB2312"/>
          <w:sz w:val="24"/>
          <w:szCs w:val="32"/>
        </w:rPr>
        <w:t>6.如申报产品包含核酸分离/纯化试剂，应提交对核酸分离/纯化过程进行工艺优化的研究资料。</w:t>
      </w:r>
    </w:p>
    <w:p>
      <w:pPr>
        <w:spacing w:line="420" w:lineRule="exact"/>
        <w:ind w:firstLine="480" w:firstLineChars="200"/>
        <w:contextualSpacing/>
        <w:rPr>
          <w:rFonts w:ascii="仿宋_GB2312" w:hAnsi="??" w:eastAsia="仿宋_GB2312" w:cs="宋体"/>
          <w:kern w:val="0"/>
          <w:sz w:val="24"/>
          <w:szCs w:val="32"/>
        </w:rPr>
      </w:pPr>
      <w:r>
        <w:rPr>
          <w:rFonts w:hint="eastAsia" w:ascii="楷体_GB2312" w:eastAsia="楷体_GB2312"/>
          <w:kern w:val="0"/>
          <w:sz w:val="24"/>
          <w:szCs w:val="32"/>
        </w:rPr>
        <w:t>（四）分析性能评估资料</w:t>
      </w:r>
    </w:p>
    <w:p>
      <w:pPr>
        <w:spacing w:line="420" w:lineRule="exact"/>
        <w:ind w:firstLine="480" w:firstLineChars="200"/>
        <w:contextualSpacing/>
        <w:rPr>
          <w:rFonts w:eastAsia="仿宋_GB2312"/>
          <w:sz w:val="24"/>
          <w:szCs w:val="32"/>
        </w:rPr>
      </w:pPr>
      <w:r>
        <w:rPr>
          <w:rFonts w:hint="eastAsia" w:eastAsia="仿宋_GB2312"/>
          <w:sz w:val="24"/>
          <w:szCs w:val="32"/>
        </w:rPr>
        <w:t>申请人应提交生产者在产品研制阶段对试剂盒进行的所有性能评价的研究资料，对于每项分析性能的评价都应包括具体研究目的、试验方法、可接受标准、试验数据、统计方法等详细资料。有关分析性能验证的背景信息也应在申报资料中有所体现，包括实验地点、适用仪器、试剂规格、批号、临床样本来源等。</w:t>
      </w:r>
    </w:p>
    <w:p>
      <w:pPr>
        <w:spacing w:line="420" w:lineRule="exact"/>
        <w:ind w:firstLine="480" w:firstLineChars="200"/>
        <w:contextualSpacing/>
        <w:rPr>
          <w:rFonts w:eastAsia="仿宋_GB2312"/>
          <w:sz w:val="24"/>
          <w:szCs w:val="32"/>
        </w:rPr>
      </w:pPr>
      <w:r>
        <w:rPr>
          <w:rFonts w:hint="eastAsia" w:eastAsia="仿宋_GB2312"/>
          <w:sz w:val="24"/>
          <w:szCs w:val="32"/>
        </w:rPr>
        <w:t>针对不同的样本采集方式，可能有不同的样本收集液，申请人应对不同的样本收集液情况分别完成性能评估，包括最低检测限和精密度评价等，证明不同的样本采集方式不会影响试剂的分析性能。</w:t>
      </w:r>
    </w:p>
    <w:p>
      <w:pPr>
        <w:spacing w:line="420" w:lineRule="exact"/>
        <w:ind w:firstLine="480" w:firstLineChars="200"/>
        <w:contextualSpacing/>
        <w:rPr>
          <w:rFonts w:eastAsia="仿宋_GB2312"/>
          <w:sz w:val="24"/>
          <w:szCs w:val="32"/>
        </w:rPr>
      </w:pPr>
      <w:r>
        <w:rPr>
          <w:rFonts w:hint="eastAsia" w:eastAsia="仿宋_GB2312"/>
          <w:sz w:val="24"/>
          <w:szCs w:val="32"/>
        </w:rPr>
        <w:t>分析性能评价的试验方法可以参考相关的美国临床实验室标准化协会批准指南（CLSI-EP）文件或国内有关体外诊断试剂性能评估的指导原则进行。对于此类产品，性能评估中所用样品（除非特别说明）可参考上述企业参考品的制备要求。各项性能评价应符合以下要求。</w:t>
      </w:r>
    </w:p>
    <w:p>
      <w:pPr>
        <w:spacing w:line="420" w:lineRule="exact"/>
        <w:ind w:firstLine="480" w:firstLineChars="200"/>
        <w:rPr>
          <w:rFonts w:eastAsia="仿宋_GB2312"/>
          <w:sz w:val="24"/>
          <w:szCs w:val="32"/>
        </w:rPr>
      </w:pPr>
      <w:r>
        <w:rPr>
          <w:rFonts w:hint="eastAsia" w:eastAsia="仿宋_GB2312"/>
          <w:sz w:val="24"/>
          <w:szCs w:val="32"/>
        </w:rPr>
        <w:t>1.核酸分离</w:t>
      </w:r>
      <w:r>
        <w:rPr>
          <w:rFonts w:eastAsia="仿宋_GB2312"/>
          <w:sz w:val="24"/>
          <w:szCs w:val="32"/>
        </w:rPr>
        <w:t>/</w:t>
      </w:r>
      <w:r>
        <w:rPr>
          <w:rFonts w:hint="eastAsia" w:eastAsia="仿宋_GB2312"/>
          <w:sz w:val="24"/>
          <w:szCs w:val="32"/>
        </w:rPr>
        <w:t>纯化性能（如适用）</w:t>
      </w:r>
    </w:p>
    <w:p>
      <w:pPr>
        <w:spacing w:line="420" w:lineRule="exact"/>
        <w:ind w:firstLine="480" w:firstLineChars="200"/>
        <w:rPr>
          <w:rFonts w:eastAsia="仿宋_GB2312"/>
          <w:sz w:val="24"/>
          <w:szCs w:val="32"/>
        </w:rPr>
      </w:pPr>
      <w:r>
        <w:rPr>
          <w:rFonts w:hint="eastAsia" w:eastAsia="仿宋_GB2312"/>
          <w:sz w:val="24"/>
          <w:szCs w:val="32"/>
        </w:rPr>
        <w:t>在进行靶核酸检测前，应有适当的核酸分离</w:t>
      </w:r>
      <w:r>
        <w:rPr>
          <w:rFonts w:eastAsia="仿宋_GB2312"/>
          <w:sz w:val="24"/>
          <w:szCs w:val="32"/>
        </w:rPr>
        <w:t>/</w:t>
      </w:r>
      <w:r>
        <w:rPr>
          <w:rFonts w:hint="eastAsia" w:eastAsia="仿宋_GB2312"/>
          <w:sz w:val="24"/>
          <w:szCs w:val="32"/>
        </w:rPr>
        <w:t>纯化步骤。该步骤的目的除最大量分离出目的核酸外，还应有相应的纯化作用，尽可能去除</w:t>
      </w:r>
      <w:r>
        <w:rPr>
          <w:rFonts w:eastAsia="仿宋_GB2312"/>
          <w:sz w:val="24"/>
          <w:szCs w:val="32"/>
        </w:rPr>
        <w:t>PCR</w:t>
      </w:r>
      <w:r>
        <w:rPr>
          <w:rFonts w:hint="eastAsia" w:eastAsia="仿宋_GB2312"/>
          <w:sz w:val="24"/>
          <w:szCs w:val="32"/>
        </w:rPr>
        <w:t>抑制物。无论检测试剂是否含有核酸分离</w:t>
      </w:r>
      <w:r>
        <w:rPr>
          <w:rFonts w:eastAsia="仿宋_GB2312"/>
          <w:sz w:val="24"/>
          <w:szCs w:val="32"/>
        </w:rPr>
        <w:t>/</w:t>
      </w:r>
      <w:r>
        <w:rPr>
          <w:rFonts w:hint="eastAsia" w:eastAsia="仿宋_GB2312"/>
          <w:sz w:val="24"/>
          <w:szCs w:val="32"/>
        </w:rPr>
        <w:t>纯化的组分，企业都应结合检测试剂的特性，对配合使用的核酸分离/纯化试剂的提取效率、提取核酸纯度等做充分的验证，提供详细的验证资料。</w:t>
      </w:r>
    </w:p>
    <w:p>
      <w:pPr>
        <w:spacing w:line="420" w:lineRule="exact"/>
        <w:ind w:firstLine="480" w:firstLineChars="200"/>
        <w:rPr>
          <w:rFonts w:eastAsia="仿宋_GB2312"/>
          <w:sz w:val="24"/>
          <w:szCs w:val="32"/>
        </w:rPr>
      </w:pPr>
      <w:r>
        <w:rPr>
          <w:rFonts w:hint="eastAsia" w:eastAsia="仿宋_GB2312"/>
          <w:sz w:val="24"/>
          <w:szCs w:val="32"/>
        </w:rPr>
        <w:t>2.阳性</w:t>
      </w:r>
      <w:r>
        <w:rPr>
          <w:rFonts w:eastAsia="仿宋_GB2312"/>
          <w:sz w:val="24"/>
          <w:szCs w:val="32"/>
        </w:rPr>
        <w:t>/</w:t>
      </w:r>
      <w:r>
        <w:rPr>
          <w:rFonts w:hint="eastAsia" w:eastAsia="仿宋_GB2312"/>
          <w:sz w:val="24"/>
          <w:szCs w:val="32"/>
        </w:rPr>
        <w:t>阴性参考品符合率</w:t>
      </w:r>
    </w:p>
    <w:p>
      <w:pPr>
        <w:spacing w:line="420" w:lineRule="exact"/>
        <w:ind w:firstLine="480" w:firstLineChars="200"/>
        <w:rPr>
          <w:rFonts w:eastAsia="仿宋_GB2312"/>
          <w:sz w:val="24"/>
          <w:szCs w:val="32"/>
        </w:rPr>
      </w:pPr>
      <w:r>
        <w:rPr>
          <w:rFonts w:hint="eastAsia" w:eastAsia="仿宋_GB2312"/>
          <w:sz w:val="24"/>
          <w:szCs w:val="32"/>
        </w:rPr>
        <w:t>阳性参考品的检测旨在验证各种HPV基因型均可以在适当的浓度被检测到。阴性参考品则应检测为阴性。</w:t>
      </w:r>
    </w:p>
    <w:p>
      <w:pPr>
        <w:spacing w:line="420" w:lineRule="exact"/>
        <w:ind w:firstLine="480" w:firstLineChars="200"/>
        <w:contextualSpacing/>
        <w:rPr>
          <w:rFonts w:eastAsia="仿宋_GB2312"/>
          <w:sz w:val="24"/>
          <w:szCs w:val="32"/>
        </w:rPr>
      </w:pPr>
      <w:r>
        <w:rPr>
          <w:rFonts w:hint="eastAsia" w:eastAsia="仿宋_GB2312"/>
          <w:sz w:val="24"/>
          <w:szCs w:val="32"/>
        </w:rPr>
        <w:t>3.最低检测限</w:t>
      </w:r>
    </w:p>
    <w:p>
      <w:pPr>
        <w:spacing w:line="420" w:lineRule="exact"/>
        <w:ind w:firstLine="480" w:firstLineChars="200"/>
        <w:contextualSpacing/>
        <w:rPr>
          <w:rFonts w:eastAsia="仿宋_GB2312"/>
          <w:sz w:val="24"/>
          <w:szCs w:val="32"/>
        </w:rPr>
      </w:pPr>
      <w:r>
        <w:rPr>
          <w:rFonts w:hint="eastAsia" w:eastAsia="仿宋_GB2312"/>
          <w:sz w:val="24"/>
          <w:szCs w:val="32"/>
        </w:rPr>
        <w:t>针对每种不同的HPV基因型分别配制系列稀释的样品进行最低检测限的评价，系列稀释度应能够覆盖大部分检出概率区间（0～100%），可通过概率计算或其他适当方法进行测算选取适当检出率水平的浓度作为最低检测限确定的标准，如</w:t>
      </w:r>
      <w:r>
        <w:rPr>
          <w:rFonts w:eastAsia="仿宋_GB2312"/>
          <w:sz w:val="24"/>
          <w:szCs w:val="32"/>
        </w:rPr>
        <w:t>95%</w:t>
      </w:r>
      <w:r>
        <w:rPr>
          <w:rFonts w:hint="eastAsia" w:eastAsia="仿宋_GB2312"/>
          <w:sz w:val="24"/>
          <w:szCs w:val="32"/>
        </w:rPr>
        <w:t>（</w:t>
      </w:r>
      <w:r>
        <w:rPr>
          <w:rFonts w:eastAsia="仿宋_GB2312"/>
          <w:sz w:val="24"/>
          <w:szCs w:val="32"/>
        </w:rPr>
        <w:t>n</w:t>
      </w:r>
      <w:r>
        <w:rPr>
          <w:rFonts w:hint="eastAsia" w:eastAsia="仿宋_GB2312"/>
          <w:sz w:val="24"/>
          <w:szCs w:val="32"/>
        </w:rPr>
        <w:t>≥</w:t>
      </w:r>
      <w:r>
        <w:rPr>
          <w:rFonts w:eastAsia="仿宋_GB2312"/>
          <w:sz w:val="24"/>
          <w:szCs w:val="32"/>
        </w:rPr>
        <w:t>20</w:t>
      </w:r>
      <w:r>
        <w:rPr>
          <w:rFonts w:hint="eastAsia" w:eastAsia="仿宋_GB2312"/>
          <w:sz w:val="24"/>
          <w:szCs w:val="32"/>
        </w:rPr>
        <w:t>）或100%的阳性检出率水平。</w:t>
      </w:r>
    </w:p>
    <w:p>
      <w:pPr>
        <w:spacing w:line="420" w:lineRule="exact"/>
        <w:ind w:firstLine="480" w:firstLineChars="200"/>
        <w:rPr>
          <w:rFonts w:eastAsia="仿宋_GB2312"/>
          <w:sz w:val="24"/>
          <w:szCs w:val="32"/>
        </w:rPr>
      </w:pPr>
      <w:r>
        <w:rPr>
          <w:rFonts w:hint="eastAsia" w:eastAsia="仿宋_GB2312"/>
          <w:sz w:val="24"/>
          <w:szCs w:val="32"/>
        </w:rPr>
        <w:t>4.分析特异性</w:t>
      </w:r>
    </w:p>
    <w:p>
      <w:pPr>
        <w:widowControl/>
        <w:spacing w:line="420" w:lineRule="exact"/>
        <w:ind w:firstLine="480" w:firstLineChars="200"/>
        <w:rPr>
          <w:rFonts w:eastAsia="仿宋_GB2312"/>
          <w:sz w:val="24"/>
          <w:szCs w:val="32"/>
        </w:rPr>
      </w:pPr>
      <w:r>
        <w:rPr>
          <w:rFonts w:hint="eastAsia" w:eastAsia="仿宋_GB2312"/>
          <w:sz w:val="24"/>
          <w:szCs w:val="32"/>
        </w:rPr>
        <w:t>4.1交叉反应</w:t>
      </w:r>
    </w:p>
    <w:p>
      <w:pPr>
        <w:widowControl/>
        <w:spacing w:line="420" w:lineRule="exact"/>
        <w:ind w:firstLine="480" w:firstLineChars="200"/>
        <w:rPr>
          <w:rFonts w:eastAsia="仿宋_GB2312"/>
          <w:sz w:val="24"/>
          <w:szCs w:val="32"/>
        </w:rPr>
      </w:pPr>
      <w:r>
        <w:rPr>
          <w:rFonts w:hint="eastAsia" w:eastAsia="仿宋_GB2312"/>
          <w:sz w:val="24"/>
          <w:szCs w:val="32"/>
        </w:rPr>
        <w:t>申请人应针对可在人类泌尿、生殖道寄生微生物或经性传播的病原体等进行交叉反应验证，用于交叉反应验证的样品，除HPV外，其他病原体应尽量采用灭活病原体培养物或临床样本。建议在病毒和细菌感染的医学相关水平进行交叉反应的验证，通常，细菌感染的水平为</w:t>
      </w:r>
      <w:r>
        <w:rPr>
          <w:rFonts w:eastAsia="仿宋_GB2312"/>
          <w:sz w:val="24"/>
          <w:szCs w:val="32"/>
        </w:rPr>
        <w:t>106 CFU/mL</w:t>
      </w:r>
      <w:r>
        <w:rPr>
          <w:rFonts w:hint="eastAsia" w:eastAsia="仿宋_GB2312"/>
          <w:sz w:val="24"/>
          <w:szCs w:val="32"/>
        </w:rPr>
        <w:t>或更高，病毒为</w:t>
      </w:r>
      <w:r>
        <w:rPr>
          <w:rFonts w:eastAsia="仿宋_GB2312"/>
          <w:sz w:val="24"/>
          <w:szCs w:val="32"/>
        </w:rPr>
        <w:t>105 PFU/mL</w:t>
      </w:r>
      <w:r>
        <w:rPr>
          <w:rFonts w:hint="eastAsia" w:eastAsia="仿宋_GB2312"/>
          <w:sz w:val="24"/>
          <w:szCs w:val="32"/>
        </w:rPr>
        <w:t>或更高。申请人应详细说明交叉反应样本来源、病原体鉴定和滴度确定的方法和结果。病原体种类主要考虑以下几方面：预期用途不包含的其他基因型HPV、人类泌尿、生殖道寄生微生物或可经性传播的其他病原体、其他常见病原体。（详见表1）</w:t>
      </w:r>
    </w:p>
    <w:p>
      <w:pPr>
        <w:widowControl/>
        <w:spacing w:line="420" w:lineRule="exact"/>
        <w:ind w:firstLine="480" w:firstLineChars="200"/>
        <w:rPr>
          <w:rFonts w:eastAsia="仿宋_GB2312"/>
          <w:sz w:val="24"/>
          <w:szCs w:val="32"/>
        </w:rPr>
      </w:pPr>
      <w:r>
        <w:rPr>
          <w:rFonts w:hint="eastAsia" w:eastAsia="仿宋_GB2312"/>
          <w:sz w:val="24"/>
          <w:szCs w:val="32"/>
        </w:rPr>
        <w:t>此外，申请人应针对被检测靶序列与人基因组及可能存在于人类泌尿、生殖道的微生物基因组进行基因序列比对，并提交比对结果，如有同源性序列则应进行交叉反应验证。</w:t>
      </w:r>
    </w:p>
    <w:p>
      <w:pPr>
        <w:widowControl/>
        <w:spacing w:line="240" w:lineRule="exact"/>
        <w:ind w:firstLine="480" w:firstLineChars="200"/>
        <w:rPr>
          <w:rFonts w:eastAsia="仿宋_GB2312"/>
          <w:sz w:val="24"/>
          <w:szCs w:val="32"/>
        </w:rPr>
      </w:pPr>
    </w:p>
    <w:p>
      <w:pPr>
        <w:widowControl/>
        <w:spacing w:afterLines="50"/>
        <w:ind w:firstLine="198"/>
        <w:jc w:val="center"/>
        <w:rPr>
          <w:rFonts w:eastAsia="仿宋_GB2312"/>
          <w:sz w:val="24"/>
          <w:szCs w:val="32"/>
        </w:rPr>
      </w:pPr>
      <w:r>
        <w:rPr>
          <w:rFonts w:hint="eastAsia" w:eastAsia="仿宋_GB2312"/>
          <w:sz w:val="24"/>
          <w:szCs w:val="32"/>
        </w:rPr>
        <w:t>表</w:t>
      </w:r>
      <w:r>
        <w:rPr>
          <w:rFonts w:eastAsia="仿宋_GB2312"/>
          <w:sz w:val="24"/>
          <w:szCs w:val="32"/>
        </w:rPr>
        <w:t>1</w:t>
      </w:r>
      <w:r>
        <w:rPr>
          <w:rFonts w:hint="eastAsia" w:eastAsia="仿宋_GB2312"/>
          <w:sz w:val="24"/>
          <w:szCs w:val="32"/>
        </w:rPr>
        <w:t>　用于交叉反应研究的病原体</w:t>
      </w:r>
    </w:p>
    <w:p>
      <w:pPr>
        <w:widowControl/>
        <w:ind w:firstLine="600" w:firstLineChars="250"/>
        <w:rPr>
          <w:rFonts w:eastAsia="仿宋_GB2312"/>
          <w:sz w:val="24"/>
          <w:szCs w:val="32"/>
        </w:rPr>
      </w:pPr>
      <w:r>
        <w:rPr>
          <w:rFonts w:hint="eastAsia" w:eastAsia="仿宋_GB2312"/>
          <w:sz w:val="24"/>
          <w:szCs w:val="32"/>
        </w:rPr>
        <w:t>（其中标记*的项目为必做项目）</w:t>
      </w:r>
    </w:p>
    <w:tbl>
      <w:tblPr>
        <w:tblStyle w:val="6"/>
        <w:tblW w:w="7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 HPV 6、11、16、18、26、31、33、35、39、40、42、43、44、45、51、52、53、54、56、58、59、61、66、67、68、69、70、71、72、73、81、82、83等基因型中产品预期用途不包含的HPV基因型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*单纯疱疹病毒Ⅱ型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*梅毒螺旋体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*解脲支原体、人型支原体、生殖支原体中至少两种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*淋病奈瑟菌（淋球菌）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*白色念珠菌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*阴道毛滴虫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*沙眼衣原体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阴道棒状杆菌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短小棒状杆菌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鲍曼不动杆菌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耻垢分枝杆菌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脆弱类杆菌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阴沟肠杆菌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粪肠球菌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大肠杆菌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金黄色葡萄球菌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表皮葡萄球菌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甲型链球菌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乙型肝炎病毒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丙型肝炎病毒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HIV病毒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EB病毒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巨细胞病毒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403" w:type="dxa"/>
            <w:vAlign w:val="center"/>
          </w:tcPr>
          <w:p>
            <w:pPr>
              <w:widowControl/>
              <w:ind w:firstLine="200"/>
              <w:contextualSpacing/>
              <w:rPr>
                <w:rFonts w:ascii="仿宋_GB2312" w:hAnsi="??" w:eastAsia="仿宋_GB2312" w:cs="宋体"/>
                <w:kern w:val="0"/>
                <w:sz w:val="24"/>
                <w:szCs w:val="28"/>
              </w:rPr>
            </w:pPr>
            <w:r>
              <w:rPr>
                <w:rFonts w:hint="eastAsia" w:ascii="仿宋_GB2312" w:hAnsi="??" w:eastAsia="仿宋_GB2312" w:cs="宋体"/>
                <w:kern w:val="0"/>
                <w:sz w:val="24"/>
                <w:szCs w:val="28"/>
              </w:rPr>
              <w:t>单纯疱疹病毒Ⅰ型</w:t>
            </w:r>
          </w:p>
        </w:tc>
      </w:tr>
    </w:tbl>
    <w:p>
      <w:pPr>
        <w:widowControl/>
        <w:spacing w:line="420" w:lineRule="exact"/>
        <w:ind w:firstLine="480" w:firstLineChars="200"/>
        <w:rPr>
          <w:rFonts w:eastAsia="仿宋_GB2312"/>
          <w:sz w:val="24"/>
          <w:szCs w:val="32"/>
        </w:rPr>
      </w:pPr>
      <w:r>
        <w:rPr>
          <w:rFonts w:hint="eastAsia" w:eastAsia="仿宋_GB2312"/>
          <w:sz w:val="24"/>
          <w:szCs w:val="32"/>
        </w:rPr>
        <w:t>4.2干扰试验</w:t>
      </w:r>
    </w:p>
    <w:p>
      <w:pPr>
        <w:widowControl/>
        <w:spacing w:line="420" w:lineRule="exact"/>
        <w:ind w:firstLine="480" w:firstLineChars="200"/>
        <w:rPr>
          <w:rFonts w:eastAsia="仿宋_GB2312"/>
          <w:sz w:val="24"/>
          <w:szCs w:val="32"/>
        </w:rPr>
      </w:pPr>
      <w:r>
        <w:rPr>
          <w:rFonts w:hint="eastAsia" w:eastAsia="仿宋_GB2312"/>
          <w:sz w:val="24"/>
          <w:szCs w:val="32"/>
        </w:rPr>
        <w:t>应根据所采集样本类型，针对可能存在的干扰情况进行验证。建议申请人在每种干扰物质的潜在最大浓度</w:t>
      </w:r>
      <w:r>
        <w:rPr>
          <w:rFonts w:eastAsia="仿宋_GB2312"/>
          <w:sz w:val="24"/>
          <w:szCs w:val="32"/>
        </w:rPr>
        <w:t>(</w:t>
      </w:r>
      <w:r>
        <w:rPr>
          <w:rFonts w:hint="eastAsia" w:eastAsia="仿宋_GB2312"/>
          <w:sz w:val="24"/>
          <w:szCs w:val="32"/>
        </w:rPr>
        <w:t>“最差条件”</w:t>
      </w:r>
      <w:r>
        <w:rPr>
          <w:rFonts w:eastAsia="仿宋_GB2312"/>
          <w:sz w:val="24"/>
          <w:szCs w:val="32"/>
        </w:rPr>
        <w:t>)</w:t>
      </w:r>
      <w:r>
        <w:rPr>
          <w:rFonts w:hint="eastAsia" w:eastAsia="仿宋_GB2312"/>
          <w:sz w:val="24"/>
          <w:szCs w:val="32"/>
        </w:rPr>
        <w:t>条件下进行评价，并针对有代表性的HPV基因型（如16、18型），至少在HPV临界阳性水平进行干扰试验验证。干扰物质的选取应至少包括：血红蛋白、白细胞、宫颈粘液、阴道避孕药物、女性卫生用品、阴道用抗真菌药物、阴道润滑剂等。</w:t>
      </w:r>
    </w:p>
    <w:p>
      <w:pPr>
        <w:widowControl/>
        <w:spacing w:line="420" w:lineRule="exact"/>
        <w:ind w:firstLine="480" w:firstLineChars="200"/>
        <w:rPr>
          <w:rFonts w:eastAsia="仿宋_GB2312"/>
          <w:sz w:val="24"/>
          <w:szCs w:val="32"/>
        </w:rPr>
      </w:pPr>
      <w:r>
        <w:rPr>
          <w:rFonts w:hint="eastAsia" w:eastAsia="仿宋_GB2312"/>
          <w:sz w:val="24"/>
          <w:szCs w:val="32"/>
        </w:rPr>
        <w:t>5.精密度</w:t>
      </w:r>
    </w:p>
    <w:p>
      <w:pPr>
        <w:widowControl/>
        <w:spacing w:line="420" w:lineRule="exact"/>
        <w:ind w:firstLine="480" w:firstLineChars="200"/>
        <w:rPr>
          <w:rFonts w:eastAsia="仿宋_GB2312"/>
          <w:sz w:val="24"/>
          <w:szCs w:val="32"/>
        </w:rPr>
      </w:pPr>
      <w:r>
        <w:rPr>
          <w:rFonts w:hint="eastAsia" w:eastAsia="仿宋_GB2312"/>
          <w:sz w:val="24"/>
          <w:szCs w:val="32"/>
        </w:rPr>
        <w:t>企业应对精密度指标，如标准差或变异系数等的评价标准做出合理要求。鉴于HPV病毒尚不能体外培养，因此可以采用感染HPV的细胞系，也可采用人工克隆或合成的HPV基因组DNA（或转录RNA）等代替；但模拟样本并不能体现临床样本可能带来的所有变异因素，因此精密度评价中应同时包含若干临床样本，且精密度评价试验应包含核酸分离/纯化步骤。针对本类产品的精密度评价主要包括以下要求。</w:t>
      </w:r>
    </w:p>
    <w:p>
      <w:pPr>
        <w:spacing w:line="420" w:lineRule="exact"/>
        <w:ind w:firstLine="480" w:firstLineChars="200"/>
        <w:rPr>
          <w:rFonts w:eastAsia="仿宋_GB2312"/>
          <w:sz w:val="24"/>
          <w:szCs w:val="32"/>
        </w:rPr>
      </w:pPr>
      <w:r>
        <w:rPr>
          <w:rFonts w:hint="eastAsia" w:eastAsia="仿宋_GB2312"/>
          <w:sz w:val="24"/>
          <w:szCs w:val="32"/>
        </w:rPr>
        <w:t>（</w:t>
      </w:r>
      <w:r>
        <w:rPr>
          <w:rFonts w:eastAsia="仿宋_GB2312"/>
          <w:sz w:val="24"/>
          <w:szCs w:val="32"/>
        </w:rPr>
        <w:t>1</w:t>
      </w:r>
      <w:r>
        <w:rPr>
          <w:rFonts w:hint="eastAsia" w:eastAsia="仿宋_GB2312"/>
          <w:sz w:val="24"/>
          <w:szCs w:val="32"/>
        </w:rPr>
        <w:t>）对可能影响检测精密度的主要变量进行验证，除检测试剂（包括核酸分离/纯化组分）本身的影响外，还应对分析仪、操作者、地点、检测轮次等要素进行相关的验证。</w:t>
      </w:r>
    </w:p>
    <w:p>
      <w:pPr>
        <w:spacing w:line="420" w:lineRule="exact"/>
        <w:ind w:firstLine="480" w:firstLineChars="200"/>
        <w:rPr>
          <w:rFonts w:eastAsia="仿宋_GB2312"/>
          <w:sz w:val="24"/>
          <w:szCs w:val="32"/>
        </w:rPr>
      </w:pPr>
      <w:r>
        <w:rPr>
          <w:rFonts w:hint="eastAsia" w:eastAsia="仿宋_GB2312"/>
          <w:sz w:val="24"/>
          <w:szCs w:val="32"/>
        </w:rPr>
        <w:t>（</w:t>
      </w:r>
      <w:r>
        <w:rPr>
          <w:rFonts w:eastAsia="仿宋_GB2312"/>
          <w:sz w:val="24"/>
          <w:szCs w:val="32"/>
        </w:rPr>
        <w:t>2</w:t>
      </w:r>
      <w:r>
        <w:rPr>
          <w:rFonts w:hint="eastAsia" w:eastAsia="仿宋_GB2312"/>
          <w:sz w:val="24"/>
          <w:szCs w:val="32"/>
        </w:rPr>
        <w:t>）</w:t>
      </w:r>
      <w:r>
        <w:rPr>
          <w:rFonts w:hint="eastAsia" w:eastAsia="仿宋_GB2312"/>
          <w:spacing w:val="-6"/>
          <w:sz w:val="24"/>
          <w:szCs w:val="32"/>
        </w:rPr>
        <w:t>设定合理的精密度评价周期，例如：为期至少20天的检测，每天至少由</w:t>
      </w:r>
      <w:r>
        <w:rPr>
          <w:rFonts w:eastAsia="仿宋_GB2312"/>
          <w:spacing w:val="-6"/>
          <w:sz w:val="24"/>
          <w:szCs w:val="32"/>
        </w:rPr>
        <w:t>2</w:t>
      </w:r>
      <w:r>
        <w:rPr>
          <w:rFonts w:hint="eastAsia" w:eastAsia="仿宋_GB2312"/>
          <w:spacing w:val="-6"/>
          <w:sz w:val="24"/>
          <w:szCs w:val="32"/>
        </w:rPr>
        <w:t>人完成不少于</w:t>
      </w:r>
      <w:r>
        <w:rPr>
          <w:rFonts w:eastAsia="仿宋_GB2312"/>
          <w:spacing w:val="-6"/>
          <w:sz w:val="24"/>
          <w:szCs w:val="32"/>
        </w:rPr>
        <w:t>2</w:t>
      </w:r>
      <w:r>
        <w:rPr>
          <w:rFonts w:hint="eastAsia" w:eastAsia="仿宋_GB2312"/>
          <w:spacing w:val="-6"/>
          <w:sz w:val="24"/>
          <w:szCs w:val="32"/>
        </w:rPr>
        <w:t>次的完整检测，从而对批内</w:t>
      </w:r>
      <w:r>
        <w:rPr>
          <w:rFonts w:eastAsia="仿宋_GB2312"/>
          <w:spacing w:val="-6"/>
          <w:sz w:val="24"/>
          <w:szCs w:val="32"/>
        </w:rPr>
        <w:t>/</w:t>
      </w:r>
      <w:r>
        <w:rPr>
          <w:rFonts w:hint="eastAsia" w:eastAsia="仿宋_GB2312"/>
          <w:spacing w:val="-6"/>
          <w:sz w:val="24"/>
          <w:szCs w:val="32"/>
        </w:rPr>
        <w:t>批间</w:t>
      </w:r>
      <w:r>
        <w:rPr>
          <w:rFonts w:hint="eastAsia" w:eastAsia="仿宋_GB2312"/>
          <w:sz w:val="24"/>
          <w:szCs w:val="32"/>
        </w:rPr>
        <w:t>、日内</w:t>
      </w:r>
      <w:r>
        <w:rPr>
          <w:rFonts w:eastAsia="仿宋_GB2312"/>
          <w:sz w:val="24"/>
          <w:szCs w:val="32"/>
        </w:rPr>
        <w:t>/</w:t>
      </w:r>
      <w:r>
        <w:rPr>
          <w:rFonts w:hint="eastAsia" w:eastAsia="仿宋_GB2312"/>
          <w:sz w:val="24"/>
          <w:szCs w:val="32"/>
        </w:rPr>
        <w:t>日间以及不同操作者之间的精密度进行综合评价。</w:t>
      </w:r>
    </w:p>
    <w:p>
      <w:pPr>
        <w:widowControl/>
        <w:spacing w:line="420" w:lineRule="exact"/>
        <w:ind w:firstLine="480" w:firstLineChars="200"/>
        <w:rPr>
          <w:rFonts w:eastAsia="仿宋_GB2312"/>
          <w:sz w:val="24"/>
          <w:szCs w:val="32"/>
        </w:rPr>
      </w:pPr>
      <w:r>
        <w:rPr>
          <w:rFonts w:hint="eastAsia" w:eastAsia="仿宋_GB2312"/>
          <w:sz w:val="24"/>
          <w:szCs w:val="32"/>
        </w:rPr>
        <w:t>（</w:t>
      </w:r>
      <w:r>
        <w:rPr>
          <w:rFonts w:eastAsia="仿宋_GB2312"/>
          <w:sz w:val="24"/>
          <w:szCs w:val="32"/>
        </w:rPr>
        <w:t>3</w:t>
      </w:r>
      <w:r>
        <w:rPr>
          <w:rFonts w:hint="eastAsia" w:eastAsia="仿宋_GB2312"/>
          <w:sz w:val="24"/>
          <w:szCs w:val="32"/>
        </w:rPr>
        <w:t>）用于精密度评价的人工模拟样品和临床样本均应至少包含</w:t>
      </w:r>
      <w:r>
        <w:rPr>
          <w:rFonts w:eastAsia="仿宋_GB2312"/>
          <w:sz w:val="24"/>
          <w:szCs w:val="32"/>
        </w:rPr>
        <w:t>3</w:t>
      </w:r>
      <w:r>
        <w:rPr>
          <w:rFonts w:hint="eastAsia" w:eastAsia="仿宋_GB2312"/>
          <w:sz w:val="24"/>
          <w:szCs w:val="32"/>
        </w:rPr>
        <w:t>个水平：阴性样品、临界阳性样品、（中或强）阳性样品，并根据产品特性设定适当的精密度要求，其中，人工模拟样品应针对所有适用的HPV基因型别分别设置，临床样本精密度评价中的每一次检测均应从核酸提取开始。</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（五）阳性判断值确定资料</w:t>
      </w:r>
    </w:p>
    <w:p>
      <w:pPr>
        <w:widowControl/>
        <w:spacing w:line="420" w:lineRule="exact"/>
        <w:ind w:firstLine="480" w:firstLineChars="200"/>
        <w:rPr>
          <w:rFonts w:eastAsia="仿宋_GB2312"/>
          <w:sz w:val="24"/>
          <w:szCs w:val="32"/>
        </w:rPr>
      </w:pPr>
      <w:r>
        <w:rPr>
          <w:rFonts w:hint="eastAsia" w:eastAsia="仿宋_GB2312"/>
          <w:sz w:val="24"/>
          <w:szCs w:val="32"/>
        </w:rPr>
        <w:t>对于此类试剂，阳性判断值即为能够获得理想的临床灵敏度和临床特异性的临界值（Cutoff），对于荧光探针PCR方法即为</w:t>
      </w:r>
      <w:r>
        <w:rPr>
          <w:rFonts w:eastAsia="仿宋_GB2312"/>
          <w:sz w:val="24"/>
          <w:szCs w:val="32"/>
        </w:rPr>
        <w:t>Ct</w:t>
      </w:r>
      <w:r>
        <w:rPr>
          <w:rFonts w:hint="eastAsia" w:eastAsia="仿宋_GB2312"/>
          <w:sz w:val="24"/>
          <w:szCs w:val="32"/>
        </w:rPr>
        <w:t>值的确定资料，对于PCR-点杂交法即为最低检测限（LoD）。建议采用受试者工作特征（</w:t>
      </w:r>
      <w:r>
        <w:rPr>
          <w:rFonts w:eastAsia="仿宋_GB2312"/>
          <w:sz w:val="24"/>
          <w:szCs w:val="32"/>
        </w:rPr>
        <w:t>ROC</w:t>
      </w:r>
      <w:r>
        <w:rPr>
          <w:rFonts w:hint="eastAsia" w:eastAsia="仿宋_GB2312"/>
          <w:sz w:val="24"/>
          <w:szCs w:val="32"/>
        </w:rPr>
        <w:t>）曲线的方式进行相关研究。申请人可选取适当的临床样本进行初步试验以确定阳性判断值，并在后续临床试验中确认其适用性，亦可将此研究纳入下文所述的有关ASC-US人群分流的临床试验中；无论采用何种方式均应明确样本入组标准，并说明试验方案及其合理性。</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（六）稳定性研究资料</w:t>
      </w:r>
    </w:p>
    <w:p>
      <w:pPr>
        <w:spacing w:line="420" w:lineRule="exact"/>
        <w:ind w:firstLine="480" w:firstLineChars="200"/>
        <w:contextualSpacing/>
        <w:rPr>
          <w:rFonts w:eastAsia="仿宋_GB2312"/>
          <w:sz w:val="24"/>
          <w:szCs w:val="32"/>
        </w:rPr>
      </w:pPr>
      <w:r>
        <w:rPr>
          <w:rFonts w:hint="eastAsia" w:eastAsia="仿宋_GB2312"/>
          <w:sz w:val="24"/>
          <w:szCs w:val="32"/>
        </w:rPr>
        <w:t>稳定性研究资料主要涉及两部分内容，申报试剂的稳定性和适用样本的稳定性研究。前者主要包括至少三批样品在实际储存条件下保存至成品有效期后的实时稳定性研究，以及试剂开瓶稳定性、复溶稳定性、运输稳定性及冻融次数限制等研究。后者则是指适用样本的保存条件、保存时间等方面的研究，如样本采集方法不同，则需分别完成稳定性研究。对于此类试剂，如核酸提取液不一定立即进行检测，则还需对核酸提取液的保存条件和稳定性进行研究。</w:t>
      </w:r>
    </w:p>
    <w:p>
      <w:pPr>
        <w:spacing w:line="420" w:lineRule="exact"/>
        <w:ind w:firstLine="480" w:firstLineChars="200"/>
        <w:contextualSpacing/>
        <w:rPr>
          <w:rFonts w:eastAsia="仿宋_GB2312"/>
          <w:sz w:val="24"/>
          <w:szCs w:val="32"/>
        </w:rPr>
      </w:pPr>
      <w:r>
        <w:rPr>
          <w:rFonts w:hint="eastAsia" w:eastAsia="仿宋_GB2312"/>
          <w:sz w:val="24"/>
          <w:szCs w:val="32"/>
        </w:rPr>
        <w:t>在稳定性研究中，应选择适当的温度范围，在多个时间点进行评价，申请人应提交有关稳定性研究方案的确定依据、具体的试验方法及详细的研究数据、结论。</w:t>
      </w:r>
    </w:p>
    <w:p>
      <w:pPr>
        <w:spacing w:line="420" w:lineRule="exact"/>
        <w:ind w:firstLine="480" w:firstLineChars="200"/>
        <w:contextualSpacing/>
        <w:rPr>
          <w:rFonts w:eastAsia="仿宋_GB2312"/>
          <w:sz w:val="24"/>
          <w:szCs w:val="32"/>
        </w:rPr>
      </w:pPr>
      <w:r>
        <w:rPr>
          <w:rFonts w:hint="eastAsia" w:eastAsia="仿宋_GB2312"/>
          <w:sz w:val="24"/>
          <w:szCs w:val="32"/>
        </w:rPr>
        <w:t>试剂稳定性和样本稳定性两部分内容的研究结果均应在说明书【储存条件及有效期】和【样本要求】两项中进行详细说明。</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（七）临床试验</w:t>
      </w:r>
    </w:p>
    <w:p>
      <w:pPr>
        <w:spacing w:line="420" w:lineRule="exact"/>
        <w:ind w:firstLine="480" w:firstLineChars="200"/>
        <w:contextualSpacing/>
        <w:rPr>
          <w:rFonts w:eastAsia="仿宋_GB2312"/>
          <w:sz w:val="24"/>
          <w:szCs w:val="32"/>
        </w:rPr>
      </w:pPr>
      <w:r>
        <w:rPr>
          <w:rFonts w:hint="eastAsia" w:eastAsia="仿宋_GB2312"/>
          <w:sz w:val="24"/>
          <w:szCs w:val="32"/>
        </w:rPr>
        <w:t>临床试验的开展、方案的制定以及报告的撰写等均应符合相关法规及《体外诊断试剂临床试验技术指导原则》（国家食品药品监督管理总局通告2014年第16号）的要求。</w:t>
      </w:r>
    </w:p>
    <w:p>
      <w:pPr>
        <w:spacing w:line="420" w:lineRule="exact"/>
        <w:ind w:firstLine="480" w:firstLineChars="200"/>
        <w:contextualSpacing/>
        <w:rPr>
          <w:rFonts w:eastAsia="仿宋_GB2312"/>
          <w:sz w:val="24"/>
          <w:szCs w:val="32"/>
        </w:rPr>
      </w:pPr>
      <w:r>
        <w:rPr>
          <w:rFonts w:hint="eastAsia" w:eastAsia="仿宋_GB2312"/>
          <w:sz w:val="24"/>
          <w:szCs w:val="32"/>
        </w:rPr>
        <w:t>1.试验方法</w:t>
      </w:r>
    </w:p>
    <w:p>
      <w:pPr>
        <w:spacing w:line="420" w:lineRule="exact"/>
        <w:ind w:firstLine="480" w:firstLineChars="200"/>
        <w:contextualSpacing/>
        <w:rPr>
          <w:rFonts w:eastAsia="仿宋_GB2312"/>
          <w:sz w:val="24"/>
          <w:szCs w:val="32"/>
        </w:rPr>
      </w:pPr>
      <w:r>
        <w:rPr>
          <w:rFonts w:hint="eastAsia" w:eastAsia="仿宋_GB2312"/>
          <w:sz w:val="24"/>
          <w:szCs w:val="32"/>
        </w:rPr>
        <w:t>此类产品的临床试验应包括两部分内容，第一部分为HPV核酸检测准确性验证；第二部分则为试剂盒针对具体预期用途的临床有效性验证。两部分临床试验的具体方法应满足如下要求：</w:t>
      </w:r>
    </w:p>
    <w:p>
      <w:pPr>
        <w:spacing w:line="420" w:lineRule="exact"/>
        <w:ind w:firstLine="480" w:firstLineChars="200"/>
        <w:contextualSpacing/>
        <w:rPr>
          <w:rFonts w:eastAsia="仿宋_GB2312"/>
          <w:sz w:val="24"/>
          <w:szCs w:val="32"/>
        </w:rPr>
      </w:pPr>
      <w:r>
        <w:rPr>
          <w:rFonts w:hint="eastAsia" w:eastAsia="仿宋_GB2312"/>
          <w:sz w:val="24"/>
          <w:szCs w:val="32"/>
        </w:rPr>
        <w:t>1.1 HPV核酸检测准确性验证</w:t>
      </w:r>
    </w:p>
    <w:p>
      <w:pPr>
        <w:spacing w:line="420" w:lineRule="exact"/>
        <w:ind w:firstLine="480" w:firstLineChars="200"/>
        <w:contextualSpacing/>
        <w:rPr>
          <w:rFonts w:eastAsia="仿宋_GB2312"/>
          <w:sz w:val="24"/>
          <w:szCs w:val="32"/>
        </w:rPr>
      </w:pPr>
      <w:r>
        <w:rPr>
          <w:rFonts w:hint="eastAsia" w:eastAsia="仿宋_GB2312"/>
          <w:sz w:val="24"/>
          <w:szCs w:val="32"/>
        </w:rPr>
        <w:t>申请人应选择已批准上市、临床普遍认为质量较好的同类产品和/或核酸序列测定方法作为对比方法，采用拟申报产品与之进行比较研究试验，以评价拟申报产品检测目标HPV基因型的能力。需要注意的是，当拟申报产品的阳性判断值高于最低检测限水平时，检测结果判定为“阴性”的情况包括两种，其一为待测样本中存在高于最低检测限水平的HPV靶核酸，但靶核酸水平低于阳性判断值；其二为待测样本中无HPV靶核酸，或靶核酸水平低于最低检测限水平。在检测结果的统计分析中应分别列明各种情况，可参考表2</w:t>
      </w:r>
    </w:p>
    <w:p>
      <w:pPr>
        <w:spacing w:line="420" w:lineRule="exact"/>
        <w:ind w:firstLine="480" w:firstLineChars="200"/>
        <w:contextualSpacing/>
        <w:rPr>
          <w:rFonts w:eastAsia="仿宋_GB2312"/>
          <w:sz w:val="24"/>
          <w:szCs w:val="32"/>
        </w:rPr>
      </w:pPr>
    </w:p>
    <w:p>
      <w:pPr>
        <w:spacing w:afterLines="50"/>
        <w:ind w:firstLine="198"/>
        <w:contextualSpacing/>
        <w:jc w:val="center"/>
        <w:rPr>
          <w:rFonts w:eastAsia="仿宋_GB2312"/>
          <w:sz w:val="24"/>
          <w:szCs w:val="32"/>
        </w:rPr>
      </w:pPr>
      <w:r>
        <w:rPr>
          <w:rFonts w:hint="eastAsia" w:eastAsia="仿宋_GB2312"/>
          <w:sz w:val="24"/>
          <w:szCs w:val="32"/>
        </w:rPr>
        <w:t>表2 HPV核酸检测结果</w:t>
      </w:r>
    </w:p>
    <w:tbl>
      <w:tblPr>
        <w:tblStyle w:val="6"/>
        <w:tblW w:w="6906"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12"/>
        <w:gridCol w:w="1951"/>
        <w:gridCol w:w="1381"/>
        <w:gridCol w:w="1381"/>
        <w:gridCol w:w="1381"/>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58" w:hRule="atLeast"/>
          <w:jc w:val="center"/>
        </w:trPr>
        <w:tc>
          <w:tcPr>
            <w:tcW w:w="2763" w:type="dxa"/>
            <w:gridSpan w:val="2"/>
            <w:vMerge w:val="restart"/>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拟申报产品</w:t>
            </w:r>
          </w:p>
        </w:tc>
        <w:tc>
          <w:tcPr>
            <w:tcW w:w="2762" w:type="dxa"/>
            <w:gridSpan w:val="2"/>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对比方法/测序</w:t>
            </w:r>
          </w:p>
        </w:tc>
        <w:tc>
          <w:tcPr>
            <w:tcW w:w="1381" w:type="dxa"/>
            <w:vMerge w:val="restart"/>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总计</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58" w:hRule="atLeast"/>
          <w:jc w:val="center"/>
        </w:trPr>
        <w:tc>
          <w:tcPr>
            <w:tcW w:w="2763" w:type="dxa"/>
            <w:gridSpan w:val="2"/>
            <w:vMerge w:val="continue"/>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阳性</w:t>
            </w:r>
          </w:p>
        </w:tc>
        <w:tc>
          <w:tcPr>
            <w:tcW w:w="1381" w:type="dxa"/>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阴性</w:t>
            </w:r>
          </w:p>
        </w:tc>
        <w:tc>
          <w:tcPr>
            <w:tcW w:w="1381" w:type="dxa"/>
            <w:vMerge w:val="continue"/>
            <w:vAlign w:val="center"/>
          </w:tcPr>
          <w:p>
            <w:pPr>
              <w:widowControl/>
              <w:spacing w:line="440" w:lineRule="exact"/>
              <w:ind w:firstLine="198"/>
              <w:rPr>
                <w:rFonts w:ascii="仿宋_GB2312" w:hAnsi="宋体" w:eastAsia="仿宋_GB2312" w:cs="宋体"/>
                <w:color w:val="000000"/>
                <w:kern w:val="0"/>
                <w:sz w:val="24"/>
                <w:szCs w:val="28"/>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58" w:hRule="atLeast"/>
          <w:jc w:val="center"/>
        </w:trPr>
        <w:tc>
          <w:tcPr>
            <w:tcW w:w="2763" w:type="dxa"/>
            <w:gridSpan w:val="2"/>
            <w:tcBorders>
              <w:bottom w:val="single" w:color="FFFFFF" w:sz="4" w:space="0"/>
            </w:tcBorders>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阳性</w:t>
            </w:r>
          </w:p>
        </w:tc>
        <w:tc>
          <w:tcPr>
            <w:tcW w:w="1381" w:type="dxa"/>
            <w:tcBorders>
              <w:bottom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bottom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bottom w:val="single" w:color="FFFFFF" w:sz="4" w:space="0"/>
            </w:tcBorders>
            <w:vAlign w:val="center"/>
          </w:tcPr>
          <w:p>
            <w:pPr>
              <w:widowControl/>
              <w:spacing w:line="440" w:lineRule="exact"/>
              <w:ind w:firstLine="198"/>
              <w:rPr>
                <w:rFonts w:ascii="仿宋_GB2312" w:hAnsi="宋体" w:eastAsia="仿宋_GB2312" w:cs="宋体"/>
                <w:color w:val="000000"/>
                <w:kern w:val="0"/>
                <w:sz w:val="24"/>
                <w:szCs w:val="28"/>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1" w:hRule="atLeast"/>
          <w:jc w:val="center"/>
        </w:trPr>
        <w:tc>
          <w:tcPr>
            <w:tcW w:w="812" w:type="dxa"/>
            <w:vMerge w:val="restart"/>
            <w:tcBorders>
              <w:top w:val="single" w:color="FFFFFF" w:sz="4" w:space="0"/>
            </w:tcBorders>
            <w:shd w:val="clear" w:color="auto" w:fill="auto"/>
            <w:noWrap/>
            <w:vAlign w:val="center"/>
          </w:tcPr>
          <w:p>
            <w:pPr>
              <w:widowControl/>
              <w:spacing w:line="440" w:lineRule="exact"/>
              <w:ind w:left="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阴性</w:t>
            </w:r>
          </w:p>
        </w:tc>
        <w:tc>
          <w:tcPr>
            <w:tcW w:w="1951" w:type="dxa"/>
            <w:vMerge w:val="restart"/>
            <w:tcBorders>
              <w:top w:val="single" w:color="FFFFFF" w:sz="4" w:space="0"/>
              <w:right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可检测到</w:t>
            </w:r>
          </w:p>
          <w:p>
            <w:pPr>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不可检测到</w:t>
            </w:r>
          </w:p>
        </w:tc>
        <w:tc>
          <w:tcPr>
            <w:tcW w:w="1381" w:type="dxa"/>
            <w:tcBorders>
              <w:top w:val="single" w:color="FFFFFF" w:sz="4" w:space="0"/>
              <w:left w:val="single" w:color="FFFFFF" w:sz="4" w:space="0"/>
              <w:bottom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top w:val="single" w:color="FFFFFF" w:sz="4" w:space="0"/>
              <w:bottom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top w:val="single" w:color="FFFFFF" w:sz="4" w:space="0"/>
              <w:bottom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0" w:hRule="atLeast"/>
          <w:jc w:val="center"/>
        </w:trPr>
        <w:tc>
          <w:tcPr>
            <w:tcW w:w="812" w:type="dxa"/>
            <w:vMerge w:val="continue"/>
            <w:tcBorders>
              <w:bottom w:val="nil"/>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951" w:type="dxa"/>
            <w:vMerge w:val="continue"/>
            <w:tcBorders>
              <w:bottom w:val="nil"/>
              <w:right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top w:val="single" w:color="FFFFFF" w:sz="4" w:space="0"/>
              <w:left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top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tcBorders>
              <w:top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58" w:hRule="atLeast"/>
          <w:jc w:val="center"/>
        </w:trPr>
        <w:tc>
          <w:tcPr>
            <w:tcW w:w="2763" w:type="dxa"/>
            <w:gridSpan w:val="2"/>
            <w:tcBorders>
              <w:top w:val="nil"/>
              <w:right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r>
              <w:rPr>
                <w:rFonts w:hint="eastAsia" w:ascii="仿宋_GB2312" w:hAnsi="宋体" w:eastAsia="仿宋_GB2312" w:cs="宋体"/>
                <w:color w:val="000000"/>
                <w:kern w:val="0"/>
                <w:sz w:val="24"/>
                <w:szCs w:val="28"/>
              </w:rPr>
              <w:t>总计</w:t>
            </w:r>
          </w:p>
        </w:tc>
        <w:tc>
          <w:tcPr>
            <w:tcW w:w="1381" w:type="dxa"/>
            <w:tcBorders>
              <w:left w:val="single" w:color="FFFFFF" w:sz="4" w:space="0"/>
            </w:tcBorders>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c>
          <w:tcPr>
            <w:tcW w:w="1381" w:type="dxa"/>
            <w:shd w:val="clear" w:color="auto" w:fill="auto"/>
            <w:noWrap/>
            <w:vAlign w:val="center"/>
          </w:tcPr>
          <w:p>
            <w:pPr>
              <w:widowControl/>
              <w:spacing w:line="440" w:lineRule="exact"/>
              <w:ind w:firstLine="198"/>
              <w:rPr>
                <w:rFonts w:ascii="仿宋_GB2312" w:hAnsi="宋体" w:eastAsia="仿宋_GB2312" w:cs="宋体"/>
                <w:color w:val="000000"/>
                <w:kern w:val="0"/>
                <w:sz w:val="24"/>
                <w:szCs w:val="28"/>
              </w:rPr>
            </w:pPr>
          </w:p>
        </w:tc>
      </w:tr>
    </w:tbl>
    <w:p>
      <w:pPr>
        <w:ind w:firstLine="480" w:firstLineChars="200"/>
        <w:contextualSpacing/>
        <w:rPr>
          <w:rFonts w:ascii="仿宋_GB2312" w:hAnsi="??" w:eastAsia="仿宋_GB2312" w:cs="宋体"/>
          <w:kern w:val="0"/>
          <w:sz w:val="24"/>
          <w:szCs w:val="32"/>
        </w:rPr>
      </w:pPr>
    </w:p>
    <w:p>
      <w:pPr>
        <w:spacing w:line="420" w:lineRule="exact"/>
        <w:ind w:firstLine="480" w:firstLineChars="200"/>
        <w:contextualSpacing/>
        <w:rPr>
          <w:rFonts w:eastAsia="仿宋_GB2312"/>
          <w:sz w:val="24"/>
          <w:szCs w:val="32"/>
        </w:rPr>
      </w:pPr>
      <w:r>
        <w:rPr>
          <w:rFonts w:hint="eastAsia" w:eastAsia="仿宋_GB2312"/>
          <w:sz w:val="24"/>
          <w:szCs w:val="32"/>
        </w:rPr>
        <w:t>病例选择及样本类型：受试者应包含各种临床表现的人群，如：宫颈细胞学检查正常者、宫颈上皮细胞异常者以及诊断为宫颈上皮内瘤变（CIN）和宫颈浸润癌等的患者，受试者年龄应在</w:t>
      </w:r>
      <w:r>
        <w:rPr>
          <w:rFonts w:eastAsia="仿宋_GB2312"/>
          <w:sz w:val="24"/>
          <w:szCs w:val="32"/>
        </w:rPr>
        <w:t>&lt;30</w:t>
      </w:r>
      <w:r>
        <w:rPr>
          <w:rFonts w:hint="eastAsia" w:eastAsia="仿宋_GB2312"/>
          <w:sz w:val="24"/>
          <w:szCs w:val="32"/>
        </w:rPr>
        <w:t>、</w:t>
      </w:r>
      <w:r>
        <w:rPr>
          <w:rFonts w:eastAsia="仿宋_GB2312"/>
          <w:sz w:val="24"/>
          <w:szCs w:val="32"/>
        </w:rPr>
        <w:t>30～39</w:t>
      </w:r>
      <w:r>
        <w:rPr>
          <w:rFonts w:hint="eastAsia" w:eastAsia="仿宋_GB2312"/>
          <w:sz w:val="24"/>
          <w:szCs w:val="32"/>
        </w:rPr>
        <w:t>、</w:t>
      </w:r>
      <w:r>
        <w:rPr>
          <w:rFonts w:eastAsia="仿宋_GB2312"/>
          <w:sz w:val="24"/>
          <w:szCs w:val="32"/>
        </w:rPr>
        <w:t>40岁以上</w:t>
      </w:r>
      <w:r>
        <w:rPr>
          <w:rFonts w:hint="eastAsia" w:eastAsia="仿宋_GB2312"/>
          <w:sz w:val="24"/>
          <w:szCs w:val="32"/>
        </w:rPr>
        <w:t>年龄段均有分布。样本类型为人宫颈样本，总例数不少于500例。对于基因分型试剂的临床试验，每种HPV基因型均应具有一定的阳性例数。</w:t>
      </w:r>
    </w:p>
    <w:p>
      <w:pPr>
        <w:spacing w:line="420" w:lineRule="exact"/>
        <w:ind w:firstLine="480" w:firstLineChars="200"/>
        <w:contextualSpacing/>
        <w:rPr>
          <w:rFonts w:eastAsia="仿宋_GB2312"/>
          <w:sz w:val="24"/>
          <w:szCs w:val="32"/>
        </w:rPr>
      </w:pPr>
      <w:r>
        <w:rPr>
          <w:rFonts w:hint="eastAsia" w:eastAsia="仿宋_GB2312"/>
          <w:sz w:val="24"/>
          <w:szCs w:val="32"/>
        </w:rPr>
        <w:t>鉴于此类产品的样本采集方法不易标准化，而样本采集过程对检测结果的准确性至关重要，因此，如产品可采用不止一种样本采集方法（包括使用的采集设备和样本收集液），则应针对不同的采集方式进行同源样本的比较研究试验，证明不同的样本采集方式不会影响检测结果。相关比较研究试验应于2家以上（含两家）临床试验机构进行，样本例数不少于100例。</w:t>
      </w:r>
    </w:p>
    <w:p>
      <w:pPr>
        <w:spacing w:line="420" w:lineRule="exact"/>
        <w:ind w:firstLine="480" w:firstLineChars="200"/>
        <w:contextualSpacing/>
        <w:rPr>
          <w:rFonts w:eastAsia="仿宋_GB2312"/>
          <w:sz w:val="24"/>
          <w:szCs w:val="32"/>
        </w:rPr>
      </w:pPr>
      <w:r>
        <w:rPr>
          <w:rFonts w:hint="eastAsia" w:eastAsia="仿宋_GB2312"/>
          <w:sz w:val="24"/>
          <w:szCs w:val="32"/>
        </w:rPr>
        <w:t>对比试剂：应选取已上市同类产品和/或核酸序列测定方法。鉴于不同的产品其预期用途涵盖的基因型别不尽相同，因此应充分考虑对比方法的适用范围和检测性能等，确保其与拟申报产品具有可比性。必要时，可同时选取超过一种对比方法，但应以一种方法为主。</w:t>
      </w:r>
    </w:p>
    <w:p>
      <w:pPr>
        <w:spacing w:line="420" w:lineRule="exact"/>
        <w:ind w:firstLine="480" w:firstLineChars="200"/>
        <w:contextualSpacing/>
        <w:rPr>
          <w:rFonts w:eastAsia="仿宋_GB2312"/>
          <w:sz w:val="24"/>
          <w:szCs w:val="32"/>
        </w:rPr>
      </w:pPr>
      <w:r>
        <w:rPr>
          <w:rFonts w:hint="eastAsia" w:eastAsia="仿宋_GB2312"/>
          <w:sz w:val="24"/>
          <w:szCs w:val="32"/>
        </w:rPr>
        <w:t>统计学分析：应选择合适的统计学方法对比较研究试验的检测数据进行合理分析。对于此类试剂的比较研究试验，常选择交叉四格表的形式总结两种方法定性检测结果，计算阳性符合率、阴性符合率和总符合率，并计算95%置信区间，对定性检测结果进行配对四格表</w:t>
      </w:r>
      <w:r>
        <w:rPr>
          <w:rFonts w:eastAsia="仿宋_GB2312"/>
          <w:sz w:val="24"/>
          <w:szCs w:val="32"/>
        </w:rPr>
        <w:t>χ</w:t>
      </w:r>
      <w:r>
        <w:rPr>
          <w:rFonts w:hint="eastAsia" w:eastAsia="仿宋_GB2312"/>
          <w:sz w:val="24"/>
          <w:szCs w:val="32"/>
        </w:rPr>
        <w:t>2检验或kappa检验，以考察两种方法检测结果的一致性。</w:t>
      </w:r>
    </w:p>
    <w:p>
      <w:pPr>
        <w:spacing w:line="420" w:lineRule="exact"/>
        <w:ind w:firstLine="480" w:firstLineChars="200"/>
        <w:rPr>
          <w:rFonts w:eastAsia="仿宋_GB2312"/>
          <w:sz w:val="24"/>
          <w:szCs w:val="32"/>
        </w:rPr>
      </w:pPr>
      <w:r>
        <w:rPr>
          <w:rFonts w:hint="eastAsia" w:eastAsia="仿宋_GB2312"/>
          <w:sz w:val="24"/>
          <w:szCs w:val="32"/>
        </w:rPr>
        <w:t>对于基因分型试剂，临床试验中应分别验证该产品对可鉴别HPV基因型的临床检测准确性，针对不同基因型HPV分别完成如上所述的统计学分析。</w:t>
      </w:r>
    </w:p>
    <w:p>
      <w:pPr>
        <w:spacing w:line="420" w:lineRule="exact"/>
        <w:ind w:firstLine="480" w:firstLineChars="200"/>
        <w:rPr>
          <w:rFonts w:eastAsia="仿宋_GB2312"/>
          <w:sz w:val="24"/>
          <w:szCs w:val="32"/>
        </w:rPr>
      </w:pPr>
      <w:r>
        <w:rPr>
          <w:rFonts w:hint="eastAsia" w:eastAsia="仿宋_GB2312"/>
          <w:sz w:val="24"/>
          <w:szCs w:val="32"/>
        </w:rPr>
        <w:t>结果差异样本的分析和验证：对于两种方法的检测结果不一致的样本，申请人应针对具体情况进行合理分析，必要时选择其他合理的方法进行验证，亦可结合患者的临床病情进行分析。</w:t>
      </w:r>
    </w:p>
    <w:p>
      <w:pPr>
        <w:spacing w:line="420" w:lineRule="exact"/>
        <w:ind w:firstLine="480" w:firstLineChars="200"/>
        <w:contextualSpacing/>
        <w:rPr>
          <w:rFonts w:eastAsia="仿宋_GB2312"/>
          <w:sz w:val="24"/>
          <w:szCs w:val="32"/>
        </w:rPr>
      </w:pPr>
      <w:r>
        <w:rPr>
          <w:rFonts w:hint="eastAsia" w:eastAsia="仿宋_GB2312"/>
          <w:sz w:val="24"/>
          <w:szCs w:val="32"/>
        </w:rPr>
        <w:t>有关核酸序列测定方法的资料要求：临床试验中如涉及核酸序列测定方法，则建议对扩增子进行双向测序。应在临床研究报告中对选用的测序方法做详细介绍，并提供以下关于测序试验的详细信息及资料。</w:t>
      </w:r>
    </w:p>
    <w:p>
      <w:pPr>
        <w:spacing w:line="420" w:lineRule="exact"/>
        <w:ind w:firstLine="480" w:firstLineChars="200"/>
        <w:contextualSpacing/>
        <w:rPr>
          <w:rFonts w:eastAsia="仿宋_GB2312"/>
          <w:sz w:val="24"/>
          <w:szCs w:val="32"/>
        </w:rPr>
      </w:pPr>
      <w:r>
        <w:rPr>
          <w:rFonts w:hint="eastAsia" w:eastAsia="仿宋_GB2312"/>
          <w:sz w:val="24"/>
          <w:szCs w:val="32"/>
        </w:rPr>
        <w:t>1)测序方法原理、测序仪型号、测序试剂及消耗品的相关信息。</w:t>
      </w:r>
    </w:p>
    <w:p>
      <w:pPr>
        <w:spacing w:line="420" w:lineRule="exact"/>
        <w:ind w:firstLine="480" w:firstLineChars="200"/>
        <w:contextualSpacing/>
        <w:rPr>
          <w:rFonts w:eastAsia="仿宋_GB2312"/>
          <w:sz w:val="24"/>
          <w:szCs w:val="32"/>
        </w:rPr>
      </w:pPr>
      <w:r>
        <w:rPr>
          <w:rFonts w:hint="eastAsia" w:eastAsia="仿宋_GB2312"/>
          <w:sz w:val="24"/>
          <w:szCs w:val="32"/>
        </w:rPr>
        <w:t>2)测序方法所用引物相关信息，如基因区段选择，分子量、纯度、功能性试验等资料。</w:t>
      </w:r>
    </w:p>
    <w:p>
      <w:pPr>
        <w:spacing w:line="420" w:lineRule="exact"/>
        <w:ind w:firstLine="480" w:firstLineChars="200"/>
        <w:contextualSpacing/>
        <w:rPr>
          <w:rFonts w:eastAsia="仿宋_GB2312"/>
          <w:sz w:val="24"/>
          <w:szCs w:val="32"/>
        </w:rPr>
      </w:pPr>
      <w:r>
        <w:rPr>
          <w:rFonts w:hint="eastAsia" w:eastAsia="仿宋_GB2312"/>
          <w:sz w:val="24"/>
          <w:szCs w:val="32"/>
        </w:rPr>
        <w:t>3)对所选测序方法的分析性能进行合理验证，尤其是最低检测限的确认，建议将所选测序方法与拟申报产品的相关性能进行适当比对分析。</w:t>
      </w:r>
    </w:p>
    <w:p>
      <w:pPr>
        <w:spacing w:line="420" w:lineRule="exact"/>
        <w:ind w:firstLine="480" w:firstLineChars="200"/>
        <w:contextualSpacing/>
        <w:rPr>
          <w:rFonts w:eastAsia="仿宋_GB2312"/>
          <w:sz w:val="24"/>
          <w:szCs w:val="32"/>
        </w:rPr>
      </w:pPr>
      <w:r>
        <w:rPr>
          <w:rFonts w:hint="eastAsia" w:eastAsia="仿宋_GB2312"/>
          <w:sz w:val="24"/>
          <w:szCs w:val="32"/>
        </w:rPr>
        <w:t>4)测序方法应建立合理的阳性质控品和阴性质控品对临床样本的检测结果进行质量控制。</w:t>
      </w:r>
    </w:p>
    <w:p>
      <w:pPr>
        <w:spacing w:line="420" w:lineRule="exact"/>
        <w:ind w:firstLine="480" w:firstLineChars="200"/>
        <w:contextualSpacing/>
        <w:rPr>
          <w:rFonts w:eastAsia="仿宋_GB2312"/>
          <w:sz w:val="24"/>
          <w:szCs w:val="32"/>
        </w:rPr>
      </w:pPr>
      <w:r>
        <w:rPr>
          <w:rFonts w:hint="eastAsia" w:eastAsia="仿宋_GB2312"/>
          <w:sz w:val="24"/>
          <w:szCs w:val="32"/>
        </w:rPr>
        <w:t>5)提交有代表性的样本测序图谱及结果分析资料。</w:t>
      </w:r>
    </w:p>
    <w:p>
      <w:pPr>
        <w:spacing w:line="420" w:lineRule="exact"/>
        <w:ind w:firstLine="480" w:firstLineChars="200"/>
        <w:contextualSpacing/>
        <w:rPr>
          <w:rFonts w:eastAsia="仿宋_GB2312"/>
          <w:sz w:val="24"/>
          <w:szCs w:val="32"/>
        </w:rPr>
      </w:pPr>
      <w:r>
        <w:rPr>
          <w:rFonts w:hint="eastAsia" w:eastAsia="仿宋_GB2312"/>
          <w:sz w:val="24"/>
          <w:szCs w:val="32"/>
        </w:rPr>
        <w:t>1.2针对预期用途的临床有效性验证</w:t>
      </w:r>
    </w:p>
    <w:p>
      <w:pPr>
        <w:spacing w:line="420" w:lineRule="exact"/>
        <w:ind w:firstLine="480" w:firstLineChars="200"/>
        <w:contextualSpacing/>
        <w:rPr>
          <w:rFonts w:eastAsia="仿宋_GB2312"/>
          <w:sz w:val="24"/>
          <w:szCs w:val="32"/>
        </w:rPr>
      </w:pPr>
      <w:r>
        <w:rPr>
          <w:rFonts w:hint="eastAsia" w:eastAsia="仿宋_GB2312"/>
          <w:sz w:val="24"/>
          <w:szCs w:val="32"/>
        </w:rPr>
        <w:t>1.2.1针对</w:t>
      </w:r>
      <w:r>
        <w:rPr>
          <w:rFonts w:eastAsia="仿宋_GB2312"/>
          <w:sz w:val="24"/>
          <w:szCs w:val="32"/>
        </w:rPr>
        <w:t>ASC-US</w:t>
      </w:r>
      <w:r>
        <w:rPr>
          <w:rFonts w:hint="eastAsia" w:eastAsia="仿宋_GB2312"/>
          <w:sz w:val="24"/>
          <w:szCs w:val="32"/>
        </w:rPr>
        <w:t>人群分流用途，申请人应在适合进行宫颈细胞学检查的女性中，入组宫颈细胞学检查为ASC-US的受试者，应避免选取已确定需进行阴道镜检查的人群，以免造成入组人群的倾向性。入组人群应尽量在不同的年龄范围均有分布（</w:t>
      </w:r>
      <w:r>
        <w:rPr>
          <w:rFonts w:eastAsia="仿宋_GB2312"/>
          <w:sz w:val="24"/>
          <w:szCs w:val="32"/>
        </w:rPr>
        <w:t>&lt;30、30</w:t>
      </w:r>
      <w:r>
        <w:rPr>
          <w:rFonts w:hint="eastAsia" w:eastAsia="仿宋_GB2312"/>
          <w:sz w:val="24"/>
          <w:szCs w:val="32"/>
        </w:rPr>
        <w:t>～</w:t>
      </w:r>
      <w:r>
        <w:rPr>
          <w:rFonts w:eastAsia="仿宋_GB2312"/>
          <w:sz w:val="24"/>
          <w:szCs w:val="32"/>
        </w:rPr>
        <w:t>39和40以上</w:t>
      </w:r>
      <w:r>
        <w:rPr>
          <w:rFonts w:hint="eastAsia" w:eastAsia="仿宋_GB2312"/>
          <w:sz w:val="24"/>
          <w:szCs w:val="32"/>
        </w:rPr>
        <w:t>），各年龄组受试者例数至少应具有统计学意义。针对入组的ASC-US人群首先采用拟申报产品进行HPV核酸检测，然后，无论HPV检测结果如何，均应进行阴道镜检查，根据阴道镜检查结果，必要时取样进行组织病理学检查。</w:t>
      </w:r>
      <w:r>
        <w:rPr>
          <w:rFonts w:hint="eastAsia" w:eastAsia="仿宋_GB2312"/>
          <w:b/>
          <w:sz w:val="28"/>
          <w:szCs w:val="28"/>
        </w:rPr>
        <w:t>建议采用同一份宫颈上皮细胞样本进行细胞学检查和HPV检测，以避免样本取材不同带来的偏差；</w:t>
      </w:r>
      <w:r>
        <w:rPr>
          <w:rFonts w:hint="eastAsia" w:eastAsia="仿宋_GB2312"/>
          <w:sz w:val="24"/>
          <w:szCs w:val="32"/>
        </w:rPr>
        <w:t>而宫颈细胞样本采集与阴道镜检查之间的时间间隔不应过长，建议不超过12周。以阴道镜检查和组织病理学检查结果为金标准，评价拟申报产品的临床灵敏度、临床特异性、阳性预期值、阴性预期值、阳性似然比、阴性似然比，并采用适当的方法计算95%置信区间；对于基因分型试剂，还需针对可鉴别的基因型单独完成上述数据统计分析，应能够支持基因分型的临床意义；数据统计和分析方法参见表3和表4。</w:t>
      </w:r>
    </w:p>
    <w:p>
      <w:pPr>
        <w:spacing w:line="420" w:lineRule="exact"/>
        <w:ind w:firstLine="480" w:firstLineChars="200"/>
        <w:contextualSpacing/>
        <w:rPr>
          <w:rFonts w:eastAsia="仿宋_GB2312"/>
          <w:sz w:val="24"/>
          <w:szCs w:val="32"/>
        </w:rPr>
      </w:pPr>
      <w:r>
        <w:rPr>
          <w:rFonts w:hint="eastAsia" w:eastAsia="仿宋_GB2312"/>
          <w:sz w:val="24"/>
          <w:szCs w:val="32"/>
        </w:rPr>
        <w:t>临床试验结果：应通过分析阳性似然比和阴性似然比的结果判断拟申报产品用于</w:t>
      </w:r>
      <w:r>
        <w:rPr>
          <w:rFonts w:eastAsia="仿宋_GB2312"/>
          <w:sz w:val="24"/>
          <w:szCs w:val="32"/>
        </w:rPr>
        <w:t>ASC-US</w:t>
      </w:r>
      <w:r>
        <w:rPr>
          <w:rFonts w:hint="eastAsia" w:eastAsia="仿宋_GB2312"/>
          <w:sz w:val="24"/>
          <w:szCs w:val="32"/>
        </w:rPr>
        <w:t>人群分流的临床性能是否能够满足临床要求。</w:t>
      </w:r>
    </w:p>
    <w:p>
      <w:pPr>
        <w:spacing w:line="420" w:lineRule="exact"/>
        <w:ind w:firstLine="480" w:firstLineChars="200"/>
        <w:contextualSpacing/>
        <w:rPr>
          <w:rFonts w:eastAsia="仿宋_GB2312"/>
          <w:sz w:val="24"/>
          <w:szCs w:val="32"/>
        </w:rPr>
      </w:pPr>
      <w:r>
        <w:rPr>
          <w:rFonts w:hint="eastAsia" w:eastAsia="仿宋_GB2312"/>
          <w:sz w:val="24"/>
          <w:szCs w:val="32"/>
        </w:rPr>
        <w:t>样本例数：应根据检测试剂灵敏度要求、疾病发病率等对入组样本例数进行科学的分析和计算，临床试验终点病理学检查结果≥CIN2的例数应不少于60例。</w:t>
      </w:r>
    </w:p>
    <w:p>
      <w:pPr>
        <w:spacing w:line="320" w:lineRule="exact"/>
        <w:ind w:firstLine="480" w:firstLineChars="200"/>
        <w:contextualSpacing/>
        <w:rPr>
          <w:rFonts w:eastAsia="仿宋_GB2312"/>
          <w:sz w:val="24"/>
          <w:szCs w:val="32"/>
        </w:rPr>
      </w:pPr>
    </w:p>
    <w:p>
      <w:pPr>
        <w:spacing w:beforeLines="50" w:afterLines="50"/>
        <w:ind w:firstLine="198"/>
        <w:contextualSpacing/>
        <w:jc w:val="center"/>
        <w:rPr>
          <w:rFonts w:eastAsia="仿宋_GB2312"/>
          <w:sz w:val="24"/>
          <w:szCs w:val="32"/>
        </w:rPr>
      </w:pPr>
      <w:r>
        <w:rPr>
          <w:rFonts w:hint="eastAsia" w:eastAsia="仿宋_GB2312"/>
          <w:sz w:val="24"/>
          <w:szCs w:val="32"/>
        </w:rPr>
        <w:t>表3 在ASC-US人群中HPV核酸检测结果与疾病状态相关性</w:t>
      </w:r>
    </w:p>
    <w:tbl>
      <w:tblPr>
        <w:tblStyle w:val="6"/>
        <w:tblW w:w="9567"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395"/>
        <w:gridCol w:w="1668"/>
        <w:gridCol w:w="1014"/>
        <w:gridCol w:w="1014"/>
        <w:gridCol w:w="1014"/>
        <w:gridCol w:w="1174"/>
        <w:gridCol w:w="2288"/>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439" w:type="dxa"/>
            <w:vMerge w:val="restart"/>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HPV检测</w:t>
            </w:r>
          </w:p>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结果</w:t>
            </w:r>
          </w:p>
        </w:tc>
        <w:tc>
          <w:tcPr>
            <w:tcW w:w="1729" w:type="dxa"/>
            <w:vMerge w:val="restart"/>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阴道镜阴性（无病理检查）</w:t>
            </w:r>
          </w:p>
        </w:tc>
        <w:tc>
          <w:tcPr>
            <w:tcW w:w="4083" w:type="dxa"/>
            <w:gridSpan w:val="4"/>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组织病理学结果</w:t>
            </w:r>
          </w:p>
        </w:tc>
        <w:tc>
          <w:tcPr>
            <w:tcW w:w="2316" w:type="dxa"/>
            <w:vMerge w:val="restart"/>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合计</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439" w:type="dxa"/>
            <w:vMerge w:val="continue"/>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p>
        </w:tc>
        <w:tc>
          <w:tcPr>
            <w:tcW w:w="1729" w:type="dxa"/>
            <w:vMerge w:val="continue"/>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p>
        </w:tc>
        <w:tc>
          <w:tcPr>
            <w:tcW w:w="966" w:type="dxa"/>
            <w:shd w:val="clear" w:color="auto" w:fill="auto"/>
          </w:tcPr>
          <w:p>
            <w:pPr>
              <w:autoSpaceDE w:val="0"/>
              <w:autoSpaceDN w:val="0"/>
              <w:adjustRightInd w:val="0"/>
              <w:spacing w:line="440" w:lineRule="exact"/>
              <w:ind w:left="198"/>
              <w:rPr>
                <w:rFonts w:ascii="仿宋_GB2312" w:eastAsia="仿宋_GB2312" w:cs="TimesNewRomanPSMT"/>
                <w:kern w:val="0"/>
                <w:sz w:val="24"/>
                <w:szCs w:val="28"/>
              </w:rPr>
            </w:pPr>
            <w:r>
              <w:rPr>
                <w:rFonts w:hint="eastAsia" w:ascii="仿宋_GB2312" w:eastAsia="仿宋_GB2312" w:cs="TimesNewRomanPSMT"/>
                <w:kern w:val="0"/>
                <w:sz w:val="24"/>
                <w:szCs w:val="28"/>
              </w:rPr>
              <w:t>正常</w:t>
            </w:r>
          </w:p>
        </w:tc>
        <w:tc>
          <w:tcPr>
            <w:tcW w:w="966"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CIN1</w:t>
            </w:r>
          </w:p>
        </w:tc>
        <w:tc>
          <w:tcPr>
            <w:tcW w:w="966"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CIN2</w:t>
            </w:r>
          </w:p>
        </w:tc>
        <w:tc>
          <w:tcPr>
            <w:tcW w:w="1185"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≥CIN3</w:t>
            </w:r>
          </w:p>
        </w:tc>
        <w:tc>
          <w:tcPr>
            <w:tcW w:w="2316" w:type="dxa"/>
            <w:vMerge w:val="continue"/>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1439" w:type="dxa"/>
            <w:tcBorders>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HPV阳性</w:t>
            </w:r>
          </w:p>
        </w:tc>
        <w:tc>
          <w:tcPr>
            <w:tcW w:w="1729" w:type="dxa"/>
            <w:tcBorders>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A1</w:t>
            </w:r>
          </w:p>
        </w:tc>
        <w:tc>
          <w:tcPr>
            <w:tcW w:w="966" w:type="dxa"/>
            <w:tcBorders>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A2</w:t>
            </w:r>
          </w:p>
        </w:tc>
        <w:tc>
          <w:tcPr>
            <w:tcW w:w="966" w:type="dxa"/>
            <w:tcBorders>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A3</w:t>
            </w:r>
          </w:p>
        </w:tc>
        <w:tc>
          <w:tcPr>
            <w:tcW w:w="966" w:type="dxa"/>
            <w:tcBorders>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A4</w:t>
            </w:r>
          </w:p>
        </w:tc>
        <w:tc>
          <w:tcPr>
            <w:tcW w:w="1185" w:type="dxa"/>
            <w:tcBorders>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A5</w:t>
            </w:r>
          </w:p>
        </w:tc>
        <w:tc>
          <w:tcPr>
            <w:tcW w:w="2316" w:type="dxa"/>
            <w:tcBorders>
              <w:bottom w:val="single" w:color="FFFFFF" w:sz="4" w:space="0"/>
            </w:tcBorders>
            <w:shd w:val="clear" w:color="auto" w:fill="auto"/>
          </w:tcPr>
          <w:p>
            <w:pPr>
              <w:autoSpaceDE w:val="0"/>
              <w:autoSpaceDN w:val="0"/>
              <w:adjustRightInd w:val="0"/>
              <w:spacing w:line="440" w:lineRule="exact"/>
              <w:rPr>
                <w:rFonts w:ascii="仿宋_GB2312" w:eastAsia="仿宋_GB2312" w:cs="TimesNewRomanPSMT"/>
                <w:kern w:val="0"/>
                <w:sz w:val="24"/>
                <w:szCs w:val="28"/>
              </w:rPr>
            </w:pPr>
            <w:r>
              <w:rPr>
                <w:rFonts w:hint="eastAsia" w:ascii="仿宋_GB2312" w:eastAsia="仿宋_GB2312" w:cs="TimesNewRomanPSMT"/>
                <w:kern w:val="0"/>
                <w:sz w:val="24"/>
                <w:szCs w:val="28"/>
              </w:rPr>
              <w:t>A1+A2+A3+A4+A5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48" w:hRule="atLeast"/>
          <w:jc w:val="center"/>
        </w:trPr>
        <w:tc>
          <w:tcPr>
            <w:tcW w:w="1439" w:type="dxa"/>
            <w:tcBorders>
              <w:top w:val="single" w:color="FFFFFF" w:sz="4" w:space="0"/>
              <w:bottom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HPV阴性</w:t>
            </w:r>
          </w:p>
        </w:tc>
        <w:tc>
          <w:tcPr>
            <w:tcW w:w="1729" w:type="dxa"/>
            <w:tcBorders>
              <w:top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B1</w:t>
            </w:r>
          </w:p>
        </w:tc>
        <w:tc>
          <w:tcPr>
            <w:tcW w:w="966" w:type="dxa"/>
            <w:tcBorders>
              <w:top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B2</w:t>
            </w:r>
          </w:p>
        </w:tc>
        <w:tc>
          <w:tcPr>
            <w:tcW w:w="966" w:type="dxa"/>
            <w:tcBorders>
              <w:top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B3</w:t>
            </w:r>
          </w:p>
        </w:tc>
        <w:tc>
          <w:tcPr>
            <w:tcW w:w="966" w:type="dxa"/>
            <w:tcBorders>
              <w:top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B4</w:t>
            </w:r>
          </w:p>
        </w:tc>
        <w:tc>
          <w:tcPr>
            <w:tcW w:w="1185" w:type="dxa"/>
            <w:tcBorders>
              <w:top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B5</w:t>
            </w:r>
          </w:p>
        </w:tc>
        <w:tc>
          <w:tcPr>
            <w:tcW w:w="2316" w:type="dxa"/>
            <w:tcBorders>
              <w:top w:val="single" w:color="FFFFFF" w:sz="4" w:space="0"/>
            </w:tcBorders>
            <w:shd w:val="clear" w:color="auto" w:fill="auto"/>
          </w:tcPr>
          <w:p>
            <w:pPr>
              <w:autoSpaceDE w:val="0"/>
              <w:autoSpaceDN w:val="0"/>
              <w:adjustRightInd w:val="0"/>
              <w:spacing w:line="440" w:lineRule="exact"/>
              <w:rPr>
                <w:rFonts w:ascii="仿宋_GB2312" w:eastAsia="仿宋_GB2312" w:cs="TimesNewRomanPSMT"/>
                <w:kern w:val="0"/>
                <w:sz w:val="24"/>
                <w:szCs w:val="28"/>
              </w:rPr>
            </w:pPr>
            <w:r>
              <w:rPr>
                <w:rFonts w:hint="eastAsia" w:ascii="仿宋_GB2312" w:eastAsia="仿宋_GB2312" w:cs="TimesNewRomanPSMT"/>
                <w:kern w:val="0"/>
                <w:sz w:val="24"/>
                <w:szCs w:val="28"/>
              </w:rPr>
              <w:t>B1+B2+B3+B4+B5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439" w:type="dxa"/>
            <w:tcBorders>
              <w:top w:val="single" w:color="FFFFFF" w:sz="4" w:space="0"/>
            </w:tcBorders>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合计</w:t>
            </w:r>
          </w:p>
        </w:tc>
        <w:tc>
          <w:tcPr>
            <w:tcW w:w="1729" w:type="dxa"/>
            <w:shd w:val="clear" w:color="auto" w:fill="auto"/>
          </w:tcPr>
          <w:p>
            <w:pPr>
              <w:autoSpaceDE w:val="0"/>
              <w:autoSpaceDN w:val="0"/>
              <w:adjustRightInd w:val="0"/>
              <w:spacing w:line="440" w:lineRule="exact"/>
              <w:rPr>
                <w:rFonts w:ascii="仿宋_GB2312" w:eastAsia="仿宋_GB2312" w:cs="TimesNewRomanPSMT"/>
                <w:kern w:val="0"/>
                <w:sz w:val="24"/>
                <w:szCs w:val="28"/>
              </w:rPr>
            </w:pPr>
            <w:r>
              <w:rPr>
                <w:rFonts w:hint="eastAsia" w:ascii="仿宋_GB2312" w:eastAsia="仿宋_GB2312" w:cs="TimesNewRomanPSMT"/>
                <w:kern w:val="0"/>
                <w:sz w:val="24"/>
                <w:szCs w:val="28"/>
              </w:rPr>
              <w:t>A1+B1</w:t>
            </w:r>
          </w:p>
        </w:tc>
        <w:tc>
          <w:tcPr>
            <w:tcW w:w="966"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A2+B2</w:t>
            </w:r>
          </w:p>
        </w:tc>
        <w:tc>
          <w:tcPr>
            <w:tcW w:w="966"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A3+B3</w:t>
            </w:r>
          </w:p>
        </w:tc>
        <w:tc>
          <w:tcPr>
            <w:tcW w:w="966"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A4+B4</w:t>
            </w:r>
          </w:p>
        </w:tc>
        <w:tc>
          <w:tcPr>
            <w:tcW w:w="1185"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A5+B5</w:t>
            </w:r>
          </w:p>
        </w:tc>
        <w:tc>
          <w:tcPr>
            <w:tcW w:w="2316" w:type="dxa"/>
            <w:shd w:val="clear" w:color="auto" w:fill="auto"/>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N</w:t>
            </w:r>
          </w:p>
        </w:tc>
      </w:tr>
    </w:tbl>
    <w:p>
      <w:pPr>
        <w:autoSpaceDE w:val="0"/>
        <w:autoSpaceDN w:val="0"/>
        <w:adjustRightInd w:val="0"/>
        <w:spacing w:beforeLines="50" w:line="420" w:lineRule="exact"/>
        <w:ind w:firstLine="198"/>
        <w:rPr>
          <w:rFonts w:eastAsia="仿宋_GB2312"/>
          <w:sz w:val="24"/>
          <w:szCs w:val="32"/>
        </w:rPr>
      </w:pPr>
      <w:r>
        <w:rPr>
          <w:rFonts w:hint="eastAsia" w:eastAsia="仿宋_GB2312"/>
          <w:sz w:val="24"/>
          <w:szCs w:val="32"/>
        </w:rPr>
        <w:t>针对≥CIN2水平的临床性能评价：</w:t>
      </w:r>
    </w:p>
    <w:p>
      <w:pPr>
        <w:autoSpaceDE w:val="0"/>
        <w:autoSpaceDN w:val="0"/>
        <w:adjustRightInd w:val="0"/>
        <w:spacing w:line="420" w:lineRule="exact"/>
        <w:ind w:firstLine="200"/>
        <w:rPr>
          <w:rFonts w:eastAsia="仿宋_GB2312"/>
          <w:sz w:val="24"/>
          <w:szCs w:val="32"/>
        </w:rPr>
      </w:pPr>
      <w:r>
        <w:rPr>
          <w:rFonts w:hint="eastAsia" w:eastAsia="仿宋_GB2312"/>
          <w:sz w:val="24"/>
          <w:szCs w:val="32"/>
        </w:rPr>
        <w:t>临床灵敏度= (A4+A5)/(A4+B4+A5+B5)</w:t>
      </w:r>
    </w:p>
    <w:p>
      <w:pPr>
        <w:autoSpaceDE w:val="0"/>
        <w:autoSpaceDN w:val="0"/>
        <w:adjustRightInd w:val="0"/>
        <w:spacing w:line="420" w:lineRule="exact"/>
        <w:ind w:firstLine="200"/>
        <w:rPr>
          <w:rFonts w:eastAsia="仿宋_GB2312"/>
          <w:sz w:val="24"/>
          <w:szCs w:val="32"/>
        </w:rPr>
      </w:pPr>
      <w:r>
        <w:rPr>
          <w:rFonts w:hint="eastAsia" w:eastAsia="仿宋_GB2312"/>
          <w:sz w:val="24"/>
          <w:szCs w:val="32"/>
        </w:rPr>
        <w:t>临床特异性= (B1+B2+B3)/(A1+B1+A2+B2+A3+B3)</w:t>
      </w:r>
    </w:p>
    <w:p>
      <w:pPr>
        <w:autoSpaceDE w:val="0"/>
        <w:autoSpaceDN w:val="0"/>
        <w:adjustRightInd w:val="0"/>
        <w:spacing w:line="420" w:lineRule="exact"/>
        <w:ind w:firstLine="200"/>
        <w:rPr>
          <w:rFonts w:eastAsia="仿宋_GB2312"/>
          <w:sz w:val="24"/>
          <w:szCs w:val="32"/>
        </w:rPr>
      </w:pPr>
      <w:r>
        <w:rPr>
          <w:rFonts w:hint="eastAsia" w:eastAsia="仿宋_GB2312"/>
          <w:sz w:val="24"/>
          <w:szCs w:val="32"/>
        </w:rPr>
        <w:t>阳性预期值（PPV）=(A4+A5)/(A1+A2+A3+A4+A5)</w:t>
      </w:r>
    </w:p>
    <w:p>
      <w:pPr>
        <w:autoSpaceDE w:val="0"/>
        <w:autoSpaceDN w:val="0"/>
        <w:adjustRightInd w:val="0"/>
        <w:spacing w:line="420" w:lineRule="exact"/>
        <w:ind w:firstLine="200"/>
        <w:rPr>
          <w:rFonts w:eastAsia="仿宋_GB2312"/>
          <w:sz w:val="24"/>
          <w:szCs w:val="32"/>
        </w:rPr>
      </w:pPr>
      <w:r>
        <w:rPr>
          <w:rFonts w:hint="eastAsia" w:eastAsia="仿宋_GB2312"/>
          <w:sz w:val="24"/>
          <w:szCs w:val="32"/>
        </w:rPr>
        <w:t>阴性预期值（NPV）=(B1+B2+B3)/(B1+B2+B3+B4+B5)</w:t>
      </w:r>
    </w:p>
    <w:p>
      <w:pPr>
        <w:autoSpaceDE w:val="0"/>
        <w:autoSpaceDN w:val="0"/>
        <w:adjustRightInd w:val="0"/>
        <w:spacing w:line="420" w:lineRule="exact"/>
        <w:ind w:firstLine="200"/>
        <w:rPr>
          <w:rFonts w:eastAsia="仿宋_GB2312"/>
          <w:sz w:val="24"/>
          <w:szCs w:val="32"/>
        </w:rPr>
      </w:pPr>
      <w:r>
        <w:rPr>
          <w:rFonts w:hint="eastAsia" w:eastAsia="仿宋_GB2312"/>
          <w:sz w:val="24"/>
          <w:szCs w:val="32"/>
        </w:rPr>
        <w:t>阳性似然比=临床灵敏度/（1-临床特异性）</w:t>
      </w:r>
    </w:p>
    <w:p>
      <w:pPr>
        <w:autoSpaceDE w:val="0"/>
        <w:autoSpaceDN w:val="0"/>
        <w:adjustRightInd w:val="0"/>
        <w:spacing w:line="420" w:lineRule="exact"/>
        <w:ind w:firstLine="200"/>
        <w:rPr>
          <w:rFonts w:hint="eastAsia" w:eastAsia="仿宋_GB2312"/>
          <w:sz w:val="24"/>
          <w:szCs w:val="32"/>
        </w:rPr>
      </w:pPr>
      <w:r>
        <w:rPr>
          <w:rFonts w:hint="eastAsia" w:eastAsia="仿宋_GB2312"/>
          <w:sz w:val="24"/>
          <w:szCs w:val="32"/>
        </w:rPr>
        <w:t>阴性似然比=（1-临床灵敏度）/临床特异性</w:t>
      </w:r>
    </w:p>
    <w:p>
      <w:pPr>
        <w:autoSpaceDE w:val="0"/>
        <w:autoSpaceDN w:val="0"/>
        <w:adjustRightInd w:val="0"/>
        <w:spacing w:beforeLines="20" w:line="420" w:lineRule="exact"/>
        <w:ind w:firstLine="198"/>
        <w:rPr>
          <w:rFonts w:eastAsia="仿宋_GB2312"/>
          <w:sz w:val="24"/>
          <w:szCs w:val="32"/>
        </w:rPr>
      </w:pPr>
      <w:r>
        <w:rPr>
          <w:rFonts w:eastAsia="仿宋_GB2312"/>
          <w:kern w:val="0"/>
          <w:sz w:val="24"/>
          <w:szCs w:val="32"/>
        </w:rPr>
        <w:t>针对≥CIN3水平的临床性能评价：</w:t>
      </w:r>
    </w:p>
    <w:p>
      <w:pPr>
        <w:autoSpaceDE w:val="0"/>
        <w:autoSpaceDN w:val="0"/>
        <w:adjustRightInd w:val="0"/>
        <w:spacing w:line="420" w:lineRule="exact"/>
        <w:ind w:firstLine="200"/>
        <w:rPr>
          <w:rFonts w:eastAsia="仿宋_GB2312"/>
          <w:kern w:val="0"/>
          <w:sz w:val="24"/>
          <w:szCs w:val="32"/>
        </w:rPr>
      </w:pPr>
      <w:r>
        <w:rPr>
          <w:rFonts w:eastAsia="仿宋_GB2312"/>
          <w:kern w:val="0"/>
          <w:sz w:val="24"/>
          <w:szCs w:val="32"/>
        </w:rPr>
        <w:t>临床灵敏度= A5/(A5+B5);</w:t>
      </w:r>
    </w:p>
    <w:p>
      <w:pPr>
        <w:autoSpaceDE w:val="0"/>
        <w:autoSpaceDN w:val="0"/>
        <w:adjustRightInd w:val="0"/>
        <w:spacing w:line="420" w:lineRule="exact"/>
        <w:ind w:firstLine="200"/>
        <w:rPr>
          <w:rFonts w:eastAsia="仿宋_GB2312"/>
          <w:spacing w:val="-4"/>
          <w:kern w:val="0"/>
          <w:sz w:val="24"/>
          <w:szCs w:val="32"/>
        </w:rPr>
      </w:pPr>
      <w:r>
        <w:rPr>
          <w:rFonts w:eastAsia="仿宋_GB2312"/>
          <w:spacing w:val="-4"/>
          <w:kern w:val="0"/>
          <w:sz w:val="24"/>
          <w:szCs w:val="32"/>
        </w:rPr>
        <w:t>临床特异性= (B1+B2+B3+B4)/(A1+B1+A2+B2+A3+B3+A4+B4)</w:t>
      </w:r>
    </w:p>
    <w:p>
      <w:pPr>
        <w:autoSpaceDE w:val="0"/>
        <w:autoSpaceDN w:val="0"/>
        <w:adjustRightInd w:val="0"/>
        <w:spacing w:line="420" w:lineRule="exact"/>
        <w:ind w:firstLine="200"/>
        <w:rPr>
          <w:rFonts w:eastAsia="仿宋_GB2312"/>
          <w:kern w:val="0"/>
          <w:sz w:val="24"/>
          <w:szCs w:val="32"/>
        </w:rPr>
      </w:pPr>
      <w:r>
        <w:rPr>
          <w:rFonts w:eastAsia="仿宋_GB2312"/>
          <w:kern w:val="0"/>
          <w:sz w:val="24"/>
          <w:szCs w:val="32"/>
        </w:rPr>
        <w:t>阳性预期值（PPV）=A5/(A1+A2+A3+A4+A5)</w:t>
      </w:r>
    </w:p>
    <w:p>
      <w:pPr>
        <w:autoSpaceDE w:val="0"/>
        <w:autoSpaceDN w:val="0"/>
        <w:adjustRightInd w:val="0"/>
        <w:spacing w:line="420" w:lineRule="exact"/>
        <w:ind w:firstLine="200"/>
        <w:rPr>
          <w:rFonts w:eastAsia="仿宋_GB2312"/>
          <w:kern w:val="0"/>
          <w:sz w:val="24"/>
          <w:szCs w:val="32"/>
        </w:rPr>
      </w:pPr>
      <w:r>
        <w:rPr>
          <w:rFonts w:eastAsia="仿宋_GB2312"/>
          <w:kern w:val="0"/>
          <w:sz w:val="24"/>
          <w:szCs w:val="32"/>
        </w:rPr>
        <w:t>阴性预期值（NPV）=(B1+B2+B3+B4)/(B1+B2+B3+B4+B5)</w:t>
      </w:r>
    </w:p>
    <w:p>
      <w:pPr>
        <w:autoSpaceDE w:val="0"/>
        <w:autoSpaceDN w:val="0"/>
        <w:adjustRightInd w:val="0"/>
        <w:spacing w:line="420" w:lineRule="exact"/>
        <w:ind w:firstLine="200"/>
        <w:rPr>
          <w:rFonts w:eastAsia="仿宋_GB2312"/>
          <w:kern w:val="0"/>
          <w:sz w:val="24"/>
          <w:szCs w:val="32"/>
        </w:rPr>
      </w:pPr>
      <w:r>
        <w:rPr>
          <w:rFonts w:eastAsia="仿宋_GB2312"/>
          <w:kern w:val="0"/>
          <w:sz w:val="24"/>
          <w:szCs w:val="32"/>
        </w:rPr>
        <w:t>阳性似然比=临床灵敏度/（1-临床特异性）</w:t>
      </w:r>
    </w:p>
    <w:p>
      <w:pPr>
        <w:autoSpaceDE w:val="0"/>
        <w:autoSpaceDN w:val="0"/>
        <w:adjustRightInd w:val="0"/>
        <w:spacing w:line="420" w:lineRule="exact"/>
        <w:ind w:firstLine="200"/>
        <w:rPr>
          <w:rFonts w:ascii="仿宋_GB2312" w:eastAsia="仿宋_GB2312" w:cs="TimesNewRomanPSMT"/>
          <w:kern w:val="0"/>
          <w:sz w:val="24"/>
          <w:szCs w:val="32"/>
        </w:rPr>
      </w:pPr>
      <w:r>
        <w:rPr>
          <w:rFonts w:eastAsia="仿宋_GB2312"/>
          <w:kern w:val="0"/>
          <w:sz w:val="24"/>
          <w:szCs w:val="32"/>
        </w:rPr>
        <w:t>阴性似然比=（1-临床灵敏度）/临床特异性</w:t>
      </w:r>
    </w:p>
    <w:p>
      <w:pPr>
        <w:ind w:firstLine="200"/>
        <w:contextualSpacing/>
        <w:jc w:val="center"/>
        <w:rPr>
          <w:rFonts w:eastAsia="仿宋_GB2312"/>
          <w:kern w:val="0"/>
          <w:sz w:val="24"/>
          <w:szCs w:val="32"/>
        </w:rPr>
      </w:pPr>
    </w:p>
    <w:p>
      <w:pPr>
        <w:ind w:firstLine="200"/>
        <w:contextualSpacing/>
        <w:jc w:val="center"/>
        <w:rPr>
          <w:rFonts w:eastAsia="仿宋_GB2312"/>
          <w:kern w:val="0"/>
          <w:sz w:val="24"/>
          <w:szCs w:val="32"/>
        </w:rPr>
      </w:pPr>
      <w:r>
        <w:rPr>
          <w:rFonts w:hint="eastAsia" w:eastAsia="仿宋_GB2312"/>
          <w:kern w:val="0"/>
          <w:sz w:val="24"/>
          <w:szCs w:val="32"/>
        </w:rPr>
        <w:t>表4在ASC-US人群中HPV基因分型检测结果</w:t>
      </w:r>
    </w:p>
    <w:p>
      <w:pPr>
        <w:ind w:firstLine="200"/>
        <w:contextualSpacing/>
        <w:jc w:val="center"/>
        <w:rPr>
          <w:rFonts w:eastAsia="仿宋_GB2312"/>
          <w:kern w:val="0"/>
          <w:sz w:val="24"/>
          <w:szCs w:val="32"/>
        </w:rPr>
      </w:pPr>
      <w:r>
        <w:rPr>
          <w:rFonts w:hint="eastAsia" w:eastAsia="仿宋_GB2312"/>
          <w:kern w:val="0"/>
          <w:sz w:val="24"/>
          <w:szCs w:val="32"/>
        </w:rPr>
        <w:t>与疾病状态相关性</w:t>
      </w:r>
    </w:p>
    <w:tbl>
      <w:tblPr>
        <w:tblStyle w:val="6"/>
        <w:tblW w:w="9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8"/>
        <w:gridCol w:w="1275"/>
        <w:gridCol w:w="1161"/>
        <w:gridCol w:w="1107"/>
        <w:gridCol w:w="7"/>
        <w:gridCol w:w="986"/>
        <w:gridCol w:w="1165"/>
        <w:gridCol w:w="2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vMerge w:val="restart"/>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HPV检测</w:t>
            </w:r>
          </w:p>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结果</w:t>
            </w:r>
          </w:p>
        </w:tc>
        <w:tc>
          <w:tcPr>
            <w:tcW w:w="1275" w:type="dxa"/>
            <w:vMerge w:val="restart"/>
            <w:shd w:val="clear" w:color="auto" w:fill="auto"/>
          </w:tcPr>
          <w:p>
            <w:pPr>
              <w:autoSpaceDE w:val="0"/>
              <w:autoSpaceDN w:val="0"/>
              <w:adjustRightInd w:val="0"/>
              <w:spacing w:line="440" w:lineRule="exact"/>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阴道镜阴性（无病理检查）</w:t>
            </w:r>
          </w:p>
        </w:tc>
        <w:tc>
          <w:tcPr>
            <w:tcW w:w="4426" w:type="dxa"/>
            <w:gridSpan w:val="5"/>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组织病理学结果</w:t>
            </w:r>
          </w:p>
        </w:tc>
        <w:tc>
          <w:tcPr>
            <w:tcW w:w="2316" w:type="dxa"/>
            <w:vMerge w:val="restart"/>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vMerge w:val="continue"/>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p>
        </w:tc>
        <w:tc>
          <w:tcPr>
            <w:tcW w:w="1275" w:type="dxa"/>
            <w:vMerge w:val="continue"/>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正常</w:t>
            </w:r>
          </w:p>
        </w:tc>
        <w:tc>
          <w:tcPr>
            <w:tcW w:w="1107"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CIN1</w:t>
            </w:r>
          </w:p>
        </w:tc>
        <w:tc>
          <w:tcPr>
            <w:tcW w:w="993"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CIN2</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≥CIN3</w:t>
            </w:r>
          </w:p>
        </w:tc>
        <w:tc>
          <w:tcPr>
            <w:tcW w:w="2316" w:type="dxa"/>
            <w:vMerge w:val="continue"/>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HPV16阳性</w:t>
            </w:r>
          </w:p>
        </w:tc>
        <w:tc>
          <w:tcPr>
            <w:tcW w:w="127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A1</w:t>
            </w: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A2</w:t>
            </w:r>
          </w:p>
        </w:tc>
        <w:tc>
          <w:tcPr>
            <w:tcW w:w="1114"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A3</w:t>
            </w:r>
          </w:p>
        </w:tc>
        <w:tc>
          <w:tcPr>
            <w:tcW w:w="98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A4</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A5</w:t>
            </w:r>
          </w:p>
        </w:tc>
        <w:tc>
          <w:tcPr>
            <w:tcW w:w="231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A1+A2+A3+A4+A5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HPV18阳性</w:t>
            </w:r>
          </w:p>
        </w:tc>
        <w:tc>
          <w:tcPr>
            <w:tcW w:w="127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B1</w:t>
            </w: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B2</w:t>
            </w:r>
          </w:p>
        </w:tc>
        <w:tc>
          <w:tcPr>
            <w:tcW w:w="1114"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B3</w:t>
            </w:r>
          </w:p>
        </w:tc>
        <w:tc>
          <w:tcPr>
            <w:tcW w:w="98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B4</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B5</w:t>
            </w:r>
          </w:p>
        </w:tc>
        <w:tc>
          <w:tcPr>
            <w:tcW w:w="231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B1+B2+B3+B4+B5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rPr>
            </w:pPr>
            <w:r>
              <w:rPr>
                <w:rFonts w:hint="eastAsia" w:ascii="仿宋_GB2312" w:eastAsia="仿宋_GB2312" w:cs="TimesNewRomanPSMT"/>
                <w:spacing w:val="-20"/>
                <w:kern w:val="0"/>
                <w:sz w:val="24"/>
              </w:rPr>
              <w:t>HPV16/18阳性</w:t>
            </w:r>
          </w:p>
        </w:tc>
        <w:tc>
          <w:tcPr>
            <w:tcW w:w="127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C1</w:t>
            </w: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C2</w:t>
            </w:r>
          </w:p>
        </w:tc>
        <w:tc>
          <w:tcPr>
            <w:tcW w:w="1114"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C3</w:t>
            </w:r>
          </w:p>
        </w:tc>
        <w:tc>
          <w:tcPr>
            <w:tcW w:w="98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C4</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C5</w:t>
            </w:r>
          </w:p>
        </w:tc>
        <w:tc>
          <w:tcPr>
            <w:tcW w:w="231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C1+C2+C3+C4+C5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w:t>
            </w:r>
          </w:p>
        </w:tc>
        <w:tc>
          <w:tcPr>
            <w:tcW w:w="1275" w:type="dxa"/>
            <w:shd w:val="clear" w:color="auto" w:fill="auto"/>
          </w:tcPr>
          <w:p>
            <w:pPr>
              <w:spacing w:line="440" w:lineRule="exact"/>
              <w:ind w:firstLine="200"/>
              <w:rPr>
                <w:spacing w:val="-20"/>
                <w:sz w:val="24"/>
                <w:szCs w:val="28"/>
              </w:rPr>
            </w:pPr>
            <w:r>
              <w:rPr>
                <w:rFonts w:hint="eastAsia" w:ascii="仿宋_GB2312" w:eastAsia="仿宋_GB2312" w:cs="TimesNewRomanPSMT"/>
                <w:spacing w:val="-20"/>
                <w:kern w:val="0"/>
                <w:sz w:val="24"/>
                <w:szCs w:val="28"/>
              </w:rPr>
              <w:t>…</w:t>
            </w:r>
          </w:p>
        </w:tc>
        <w:tc>
          <w:tcPr>
            <w:tcW w:w="1161" w:type="dxa"/>
            <w:shd w:val="clear" w:color="auto" w:fill="auto"/>
          </w:tcPr>
          <w:p>
            <w:pPr>
              <w:spacing w:line="440" w:lineRule="exact"/>
              <w:ind w:firstLine="200"/>
              <w:rPr>
                <w:spacing w:val="-20"/>
                <w:sz w:val="24"/>
                <w:szCs w:val="28"/>
              </w:rPr>
            </w:pPr>
            <w:r>
              <w:rPr>
                <w:rFonts w:hint="eastAsia" w:ascii="仿宋_GB2312" w:eastAsia="仿宋_GB2312" w:cs="TimesNewRomanPSMT"/>
                <w:spacing w:val="-20"/>
                <w:kern w:val="0"/>
                <w:sz w:val="24"/>
                <w:szCs w:val="28"/>
              </w:rPr>
              <w:t>…</w:t>
            </w:r>
          </w:p>
        </w:tc>
        <w:tc>
          <w:tcPr>
            <w:tcW w:w="1114" w:type="dxa"/>
            <w:gridSpan w:val="2"/>
            <w:shd w:val="clear" w:color="auto" w:fill="auto"/>
          </w:tcPr>
          <w:p>
            <w:pPr>
              <w:spacing w:line="440" w:lineRule="exact"/>
              <w:ind w:firstLine="200"/>
              <w:rPr>
                <w:spacing w:val="-20"/>
                <w:sz w:val="24"/>
                <w:szCs w:val="28"/>
              </w:rPr>
            </w:pPr>
            <w:r>
              <w:rPr>
                <w:rFonts w:hint="eastAsia" w:ascii="仿宋_GB2312" w:eastAsia="仿宋_GB2312" w:cs="TimesNewRomanPSMT"/>
                <w:spacing w:val="-20"/>
                <w:kern w:val="0"/>
                <w:sz w:val="24"/>
                <w:szCs w:val="28"/>
              </w:rPr>
              <w:t>…</w:t>
            </w:r>
          </w:p>
        </w:tc>
        <w:tc>
          <w:tcPr>
            <w:tcW w:w="986" w:type="dxa"/>
            <w:shd w:val="clear" w:color="auto" w:fill="auto"/>
          </w:tcPr>
          <w:p>
            <w:pPr>
              <w:spacing w:line="440" w:lineRule="exact"/>
              <w:ind w:firstLine="200"/>
              <w:rPr>
                <w:spacing w:val="-20"/>
                <w:sz w:val="24"/>
                <w:szCs w:val="28"/>
              </w:rPr>
            </w:pPr>
            <w:r>
              <w:rPr>
                <w:rFonts w:hint="eastAsia" w:ascii="仿宋_GB2312" w:eastAsia="仿宋_GB2312" w:cs="TimesNewRomanPSMT"/>
                <w:spacing w:val="-20"/>
                <w:kern w:val="0"/>
                <w:sz w:val="24"/>
                <w:szCs w:val="28"/>
              </w:rPr>
              <w:t>…</w:t>
            </w:r>
          </w:p>
        </w:tc>
        <w:tc>
          <w:tcPr>
            <w:tcW w:w="1165" w:type="dxa"/>
            <w:shd w:val="clear" w:color="auto" w:fill="auto"/>
          </w:tcPr>
          <w:p>
            <w:pPr>
              <w:spacing w:line="440" w:lineRule="exact"/>
              <w:ind w:firstLine="200"/>
              <w:rPr>
                <w:spacing w:val="-20"/>
                <w:sz w:val="24"/>
                <w:szCs w:val="28"/>
              </w:rPr>
            </w:pPr>
            <w:r>
              <w:rPr>
                <w:rFonts w:hint="eastAsia" w:ascii="仿宋_GB2312" w:eastAsia="仿宋_GB2312" w:cs="TimesNewRomanPSMT"/>
                <w:spacing w:val="-20"/>
                <w:kern w:val="0"/>
                <w:sz w:val="24"/>
                <w:szCs w:val="28"/>
              </w:rPr>
              <w:t>…</w:t>
            </w:r>
          </w:p>
        </w:tc>
        <w:tc>
          <w:tcPr>
            <w:tcW w:w="2316" w:type="dxa"/>
            <w:shd w:val="clear" w:color="auto" w:fill="auto"/>
          </w:tcPr>
          <w:p>
            <w:pPr>
              <w:spacing w:line="440" w:lineRule="exact"/>
              <w:ind w:firstLine="200"/>
              <w:rPr>
                <w:spacing w:val="-20"/>
                <w:sz w:val="24"/>
                <w:szCs w:val="28"/>
              </w:rPr>
            </w:pPr>
            <w:r>
              <w:rPr>
                <w:rFonts w:hint="eastAsia" w:ascii="仿宋_GB2312" w:eastAsia="仿宋_GB2312" w:cs="TimesNewRomanPSMT"/>
                <w:spacing w:val="-20"/>
                <w:kern w:val="0"/>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其他HPV</w:t>
            </w:r>
          </w:p>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阳性</w:t>
            </w:r>
          </w:p>
        </w:tc>
        <w:tc>
          <w:tcPr>
            <w:tcW w:w="127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D1</w:t>
            </w: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D2</w:t>
            </w:r>
          </w:p>
        </w:tc>
        <w:tc>
          <w:tcPr>
            <w:tcW w:w="1114"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D3</w:t>
            </w:r>
          </w:p>
        </w:tc>
        <w:tc>
          <w:tcPr>
            <w:tcW w:w="98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D4</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D5</w:t>
            </w:r>
          </w:p>
        </w:tc>
        <w:tc>
          <w:tcPr>
            <w:tcW w:w="231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D1+D2+D3+D4+D5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HPV阴性</w:t>
            </w:r>
          </w:p>
        </w:tc>
        <w:tc>
          <w:tcPr>
            <w:tcW w:w="127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E1</w:t>
            </w: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E2</w:t>
            </w:r>
          </w:p>
        </w:tc>
        <w:tc>
          <w:tcPr>
            <w:tcW w:w="1114"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E3</w:t>
            </w:r>
          </w:p>
        </w:tc>
        <w:tc>
          <w:tcPr>
            <w:tcW w:w="98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E4</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E5</w:t>
            </w:r>
          </w:p>
        </w:tc>
        <w:tc>
          <w:tcPr>
            <w:tcW w:w="231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E1+E2+E3+E4+E5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8"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合计</w:t>
            </w:r>
          </w:p>
        </w:tc>
        <w:tc>
          <w:tcPr>
            <w:tcW w:w="127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w:t>
            </w:r>
          </w:p>
        </w:tc>
        <w:tc>
          <w:tcPr>
            <w:tcW w:w="1161"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w:t>
            </w:r>
          </w:p>
        </w:tc>
        <w:tc>
          <w:tcPr>
            <w:tcW w:w="1114" w:type="dxa"/>
            <w:gridSpan w:val="2"/>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w:t>
            </w:r>
          </w:p>
        </w:tc>
        <w:tc>
          <w:tcPr>
            <w:tcW w:w="98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w:t>
            </w:r>
          </w:p>
        </w:tc>
        <w:tc>
          <w:tcPr>
            <w:tcW w:w="1165"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w:t>
            </w:r>
          </w:p>
        </w:tc>
        <w:tc>
          <w:tcPr>
            <w:tcW w:w="2316" w:type="dxa"/>
            <w:shd w:val="clear" w:color="auto" w:fill="auto"/>
          </w:tcPr>
          <w:p>
            <w:pPr>
              <w:autoSpaceDE w:val="0"/>
              <w:autoSpaceDN w:val="0"/>
              <w:adjustRightInd w:val="0"/>
              <w:spacing w:line="440" w:lineRule="exact"/>
              <w:ind w:firstLine="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N</w:t>
            </w:r>
          </w:p>
        </w:tc>
      </w:tr>
    </w:tbl>
    <w:p>
      <w:pPr>
        <w:spacing w:line="420" w:lineRule="exact"/>
        <w:contextualSpacing/>
        <w:rPr>
          <w:rFonts w:eastAsia="仿宋_GB2312"/>
          <w:kern w:val="0"/>
          <w:sz w:val="24"/>
          <w:szCs w:val="32"/>
        </w:rPr>
      </w:pPr>
      <w:r>
        <w:rPr>
          <w:rFonts w:hint="eastAsia" w:eastAsia="仿宋_GB2312"/>
          <w:kern w:val="0"/>
          <w:sz w:val="24"/>
          <w:szCs w:val="32"/>
        </w:rPr>
        <w:t xml:space="preserve">    1.2.2针对宫颈癌联合筛查用途，入组的受试人群应为无宫颈上皮内病变（NILM）的30岁以上女性。</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基础检测：入组人群应分别接受拟申报产品的HPV检测，记为基础检测数据，其中，若拟申报产品可进行16、18型HPV分型检测，则16、18型阳性的受试者应立即进行阴道镜检查，必要时结合组织病理学检查，结果为≥CIN2的受试者判为“阳性”，不再进行下述随访，其他受试者进入随访程序。</w:t>
      </w:r>
    </w:p>
    <w:p>
      <w:pPr>
        <w:spacing w:line="420" w:lineRule="exact"/>
        <w:ind w:firstLine="488" w:firstLineChars="200"/>
        <w:contextualSpacing/>
        <w:rPr>
          <w:rFonts w:eastAsia="仿宋_GB2312"/>
          <w:kern w:val="0"/>
          <w:sz w:val="24"/>
          <w:szCs w:val="32"/>
        </w:rPr>
      </w:pPr>
      <w:r>
        <w:rPr>
          <w:rFonts w:hint="eastAsia" w:eastAsia="仿宋_GB2312"/>
          <w:spacing w:val="2"/>
          <w:kern w:val="0"/>
          <w:sz w:val="24"/>
          <w:szCs w:val="32"/>
        </w:rPr>
        <w:t>受试者随访：随访时间建议至少持续三年。基础检测结果HPV阳性的受试者每年接受随访，HPV阴性的受试者每三年接受一次随访，以及在随访终点接受随访。随访中应对受试者进行宫颈细胞学检查，其中检查结果为正常者继续随访，结果为</w:t>
      </w:r>
      <w:r>
        <w:rPr>
          <w:rFonts w:hint="eastAsia" w:eastAsia="仿宋_GB2312"/>
          <w:kern w:val="0"/>
          <w:sz w:val="24"/>
          <w:szCs w:val="32"/>
        </w:rPr>
        <w:t>≥ASC-US的受试者则应进行阴道镜检查，必要时结合组织病理学检查，结果为≥CIN2的受试者判为“阳性”，并终止随访，其他均应持续至随访终点，最终未发展为≥CIN2的受试者判为“阴性”。</w:t>
      </w:r>
    </w:p>
    <w:p>
      <w:pPr>
        <w:spacing w:line="420" w:lineRule="exact"/>
        <w:ind w:firstLine="488" w:firstLineChars="200"/>
        <w:contextualSpacing/>
        <w:rPr>
          <w:rFonts w:eastAsia="仿宋_GB2312"/>
          <w:kern w:val="0"/>
          <w:sz w:val="24"/>
          <w:szCs w:val="32"/>
        </w:rPr>
      </w:pPr>
      <w:r>
        <w:rPr>
          <w:rFonts w:hint="eastAsia" w:eastAsia="仿宋_GB2312"/>
          <w:spacing w:val="2"/>
          <w:kern w:val="0"/>
          <w:sz w:val="24"/>
          <w:szCs w:val="32"/>
        </w:rPr>
        <w:t>统计学分析：针对HPV基础检测结果为阴性和阳性的受试者分别评价其发展为≥CIN2的绝对风险值和发展为≥CIN3的绝对风险值，计算HPV阳性组相对于阴性组发展为≥CIN2和</w:t>
      </w:r>
      <w:r>
        <w:rPr>
          <w:rFonts w:hint="eastAsia" w:eastAsia="仿宋_GB2312"/>
          <w:kern w:val="0"/>
          <w:sz w:val="24"/>
          <w:szCs w:val="32"/>
        </w:rPr>
        <w:t>≥CIN3的相对风险值及95%置信区间，应与“1”具有显著性差异。对于HPV基因分型检测试剂，还应分别评估可鉴别基因型阳性结果如HPV16+、HPV18+、HPV16和/或18+等相对于HPV阴性和相对于其他HPV基因型别阳性的相对风险，以及其他HPV基因型别阳性及HPV阳性相对于HPV阴性的相对风险。计算相对风险值的95%置信区间，应与“1”具有显著性差异。此外，HPV阴性人群的绝对风险值应足够低，以证明该方法对阴性人群的保护作用。最后，应给出受试人群总体的≥CIN2绝对风险值和≥CIN3绝对风险值。风险值的计算可参考如下方法（表5和表6）：</w:t>
      </w:r>
    </w:p>
    <w:p>
      <w:pPr>
        <w:widowControl/>
        <w:rPr>
          <w:rFonts w:eastAsia="仿宋_GB2312"/>
          <w:kern w:val="0"/>
          <w:sz w:val="24"/>
          <w:szCs w:val="32"/>
        </w:rPr>
      </w:pPr>
    </w:p>
    <w:p>
      <w:pPr>
        <w:widowControl/>
        <w:spacing w:line="420" w:lineRule="exact"/>
        <w:jc w:val="center"/>
        <w:rPr>
          <w:rFonts w:eastAsia="仿宋_GB2312"/>
          <w:kern w:val="0"/>
          <w:sz w:val="24"/>
          <w:szCs w:val="32"/>
        </w:rPr>
      </w:pPr>
      <w:r>
        <w:rPr>
          <w:rFonts w:hint="eastAsia" w:eastAsia="仿宋_GB2312"/>
          <w:kern w:val="0"/>
          <w:sz w:val="24"/>
          <w:szCs w:val="32"/>
        </w:rPr>
        <w:t>表5 HPV检测结果和疾病（≥CIN2）状态相关性</w:t>
      </w:r>
    </w:p>
    <w:tbl>
      <w:tblPr>
        <w:tblStyle w:val="6"/>
        <w:tblW w:w="83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7"/>
        <w:gridCol w:w="2058"/>
        <w:gridCol w:w="2090"/>
        <w:gridCol w:w="1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HPV检测结果</w:t>
            </w:r>
          </w:p>
        </w:tc>
        <w:tc>
          <w:tcPr>
            <w:tcW w:w="205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hAnsi="??" w:eastAsia="仿宋_GB2312" w:cs="宋体"/>
                <w:kern w:val="0"/>
                <w:sz w:val="24"/>
                <w:szCs w:val="28"/>
              </w:rPr>
              <w:t>≥CIN2人数</w:t>
            </w:r>
          </w:p>
        </w:tc>
        <w:tc>
          <w:tcPr>
            <w:tcW w:w="2090" w:type="dxa"/>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＜CIN2人数</w:t>
            </w:r>
          </w:p>
        </w:tc>
        <w:tc>
          <w:tcPr>
            <w:tcW w:w="138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HPV16阳性</w:t>
            </w:r>
          </w:p>
        </w:tc>
        <w:tc>
          <w:tcPr>
            <w:tcW w:w="205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A1</w:t>
            </w:r>
          </w:p>
        </w:tc>
        <w:tc>
          <w:tcPr>
            <w:tcW w:w="2090" w:type="dxa"/>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A2</w:t>
            </w:r>
          </w:p>
        </w:tc>
        <w:tc>
          <w:tcPr>
            <w:tcW w:w="138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A1+A2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HPV18阳性</w:t>
            </w:r>
          </w:p>
        </w:tc>
        <w:tc>
          <w:tcPr>
            <w:tcW w:w="205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B1</w:t>
            </w:r>
          </w:p>
        </w:tc>
        <w:tc>
          <w:tcPr>
            <w:tcW w:w="2090" w:type="dxa"/>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B2</w:t>
            </w:r>
          </w:p>
        </w:tc>
        <w:tc>
          <w:tcPr>
            <w:tcW w:w="138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B1+B2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HPV16和/或18阳性</w:t>
            </w:r>
          </w:p>
        </w:tc>
        <w:tc>
          <w:tcPr>
            <w:tcW w:w="205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C1</w:t>
            </w:r>
          </w:p>
        </w:tc>
        <w:tc>
          <w:tcPr>
            <w:tcW w:w="2090" w:type="dxa"/>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C2</w:t>
            </w:r>
          </w:p>
        </w:tc>
        <w:tc>
          <w:tcPr>
            <w:tcW w:w="138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C1+C2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HPV其他型阳性</w:t>
            </w:r>
          </w:p>
        </w:tc>
        <w:tc>
          <w:tcPr>
            <w:tcW w:w="205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hAnsi="TimesNewRomanPSMT" w:eastAsia="仿宋_GB2312" w:cs="TimesNewRomanPSMT"/>
                <w:kern w:val="0"/>
                <w:sz w:val="24"/>
                <w:szCs w:val="28"/>
              </w:rPr>
              <w:t>D1</w:t>
            </w:r>
          </w:p>
        </w:tc>
        <w:tc>
          <w:tcPr>
            <w:tcW w:w="2090" w:type="dxa"/>
            <w:vAlign w:val="center"/>
          </w:tcPr>
          <w:p>
            <w:pPr>
              <w:spacing w:line="440" w:lineRule="exact"/>
              <w:ind w:firstLine="198"/>
              <w:rPr>
                <w:rFonts w:ascii="仿宋_GB2312" w:hAnsi="TimesNewRomanPSMT" w:eastAsia="仿宋_GB2312" w:cs="TimesNewRomanPSMT"/>
                <w:kern w:val="0"/>
                <w:sz w:val="24"/>
                <w:szCs w:val="28"/>
              </w:rPr>
            </w:pPr>
            <w:r>
              <w:rPr>
                <w:rFonts w:hint="eastAsia" w:ascii="仿宋_GB2312" w:hAnsi="TimesNewRomanPSMT" w:eastAsia="仿宋_GB2312" w:cs="TimesNewRomanPSMT"/>
                <w:kern w:val="0"/>
                <w:sz w:val="24"/>
                <w:szCs w:val="28"/>
              </w:rPr>
              <w:t>D2</w:t>
            </w:r>
          </w:p>
        </w:tc>
        <w:tc>
          <w:tcPr>
            <w:tcW w:w="1388" w:type="dxa"/>
            <w:shd w:val="clear" w:color="auto" w:fill="auto"/>
            <w:vAlign w:val="center"/>
          </w:tcPr>
          <w:p>
            <w:pPr>
              <w:spacing w:line="440" w:lineRule="exact"/>
              <w:ind w:firstLine="198"/>
              <w:rPr>
                <w:rFonts w:ascii="仿宋_GB2312" w:eastAsia="仿宋_GB2312"/>
                <w:sz w:val="24"/>
                <w:szCs w:val="28"/>
              </w:rPr>
            </w:pPr>
            <w:r>
              <w:rPr>
                <w:rFonts w:hint="eastAsia" w:ascii="仿宋_GB2312" w:hAnsi="TimesNewRomanPSMT" w:eastAsia="仿宋_GB2312" w:cs="TimesNewRomanPSMT"/>
                <w:kern w:val="0"/>
                <w:sz w:val="24"/>
                <w:szCs w:val="28"/>
              </w:rPr>
              <w:t>D1+D2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HPV阳性</w:t>
            </w:r>
          </w:p>
        </w:tc>
        <w:tc>
          <w:tcPr>
            <w:tcW w:w="2058" w:type="dxa"/>
            <w:shd w:val="clear" w:color="auto" w:fill="auto"/>
            <w:vAlign w:val="center"/>
          </w:tcPr>
          <w:p>
            <w:pPr>
              <w:autoSpaceDE w:val="0"/>
              <w:autoSpaceDN w:val="0"/>
              <w:adjustRightInd w:val="0"/>
              <w:spacing w:line="440" w:lineRule="exact"/>
              <w:ind w:firstLine="198"/>
              <w:rPr>
                <w:rFonts w:ascii="仿宋_GB2312" w:hAnsi="TimesNewRomanPSMT" w:eastAsia="仿宋_GB2312" w:cs="TimesNewRomanPSMT"/>
                <w:kern w:val="0"/>
                <w:sz w:val="24"/>
                <w:szCs w:val="28"/>
              </w:rPr>
            </w:pPr>
            <w:r>
              <w:rPr>
                <w:rFonts w:hint="eastAsia" w:ascii="仿宋_GB2312" w:hAnsi="TimesNewRomanPSMT" w:eastAsia="仿宋_GB2312" w:cs="TimesNewRomanPSMT"/>
                <w:kern w:val="0"/>
                <w:sz w:val="24"/>
                <w:szCs w:val="28"/>
              </w:rPr>
              <w:t>E1</w:t>
            </w:r>
          </w:p>
        </w:tc>
        <w:tc>
          <w:tcPr>
            <w:tcW w:w="2090" w:type="dxa"/>
            <w:vAlign w:val="center"/>
          </w:tcPr>
          <w:p>
            <w:pPr>
              <w:spacing w:line="440" w:lineRule="exact"/>
              <w:ind w:firstLine="198"/>
              <w:rPr>
                <w:rFonts w:ascii="仿宋_GB2312" w:hAnsi="TimesNewRomanPSMT" w:eastAsia="仿宋_GB2312" w:cs="TimesNewRomanPSMT"/>
                <w:kern w:val="0"/>
                <w:sz w:val="24"/>
                <w:szCs w:val="28"/>
              </w:rPr>
            </w:pPr>
            <w:r>
              <w:rPr>
                <w:rFonts w:hint="eastAsia" w:ascii="仿宋_GB2312" w:hAnsi="TimesNewRomanPSMT" w:eastAsia="仿宋_GB2312" w:cs="TimesNewRomanPSMT"/>
                <w:kern w:val="0"/>
                <w:sz w:val="24"/>
                <w:szCs w:val="28"/>
              </w:rPr>
              <w:t>E2</w:t>
            </w:r>
          </w:p>
        </w:tc>
        <w:tc>
          <w:tcPr>
            <w:tcW w:w="1388" w:type="dxa"/>
            <w:shd w:val="clear" w:color="auto" w:fill="auto"/>
            <w:vAlign w:val="center"/>
          </w:tcPr>
          <w:p>
            <w:pPr>
              <w:spacing w:line="440" w:lineRule="exact"/>
              <w:ind w:firstLine="198"/>
              <w:rPr>
                <w:rFonts w:ascii="仿宋_GB2312" w:hAnsi="TimesNewRomanPSMT" w:eastAsia="仿宋_GB2312" w:cs="TimesNewRomanPSMT"/>
                <w:kern w:val="0"/>
                <w:sz w:val="24"/>
                <w:szCs w:val="28"/>
              </w:rPr>
            </w:pPr>
            <w:r>
              <w:rPr>
                <w:rFonts w:hint="eastAsia" w:ascii="仿宋_GB2312" w:hAnsi="TimesNewRomanPSMT" w:eastAsia="仿宋_GB2312" w:cs="TimesNewRomanPSMT"/>
                <w:kern w:val="0"/>
                <w:sz w:val="24"/>
                <w:szCs w:val="28"/>
              </w:rPr>
              <w:t>E1+E2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HPV阴性</w:t>
            </w:r>
          </w:p>
        </w:tc>
        <w:tc>
          <w:tcPr>
            <w:tcW w:w="2058" w:type="dxa"/>
            <w:shd w:val="clear" w:color="auto" w:fill="auto"/>
            <w:vAlign w:val="center"/>
          </w:tcPr>
          <w:p>
            <w:pPr>
              <w:spacing w:line="440" w:lineRule="exact"/>
              <w:ind w:firstLine="198"/>
              <w:rPr>
                <w:rFonts w:ascii="仿宋_GB2312" w:eastAsia="仿宋_GB2312"/>
                <w:sz w:val="24"/>
                <w:szCs w:val="28"/>
              </w:rPr>
            </w:pPr>
            <w:r>
              <w:rPr>
                <w:rFonts w:hint="eastAsia" w:ascii="仿宋_GB2312" w:hAnsi="TimesNewRomanPSMT" w:eastAsia="仿宋_GB2312" w:cs="TimesNewRomanPSMT"/>
                <w:kern w:val="0"/>
                <w:sz w:val="24"/>
                <w:szCs w:val="28"/>
              </w:rPr>
              <w:t>F1</w:t>
            </w:r>
          </w:p>
        </w:tc>
        <w:tc>
          <w:tcPr>
            <w:tcW w:w="2090" w:type="dxa"/>
            <w:vAlign w:val="center"/>
          </w:tcPr>
          <w:p>
            <w:pPr>
              <w:spacing w:line="440" w:lineRule="exact"/>
              <w:ind w:firstLine="198"/>
              <w:rPr>
                <w:rFonts w:ascii="仿宋_GB2312" w:hAnsi="TimesNewRomanPSMT" w:eastAsia="仿宋_GB2312" w:cs="TimesNewRomanPSMT"/>
                <w:kern w:val="0"/>
                <w:sz w:val="24"/>
                <w:szCs w:val="28"/>
              </w:rPr>
            </w:pPr>
            <w:r>
              <w:rPr>
                <w:rFonts w:hint="eastAsia" w:ascii="仿宋_GB2312" w:hAnsi="TimesNewRomanPSMT" w:eastAsia="仿宋_GB2312" w:cs="TimesNewRomanPSMT"/>
                <w:kern w:val="0"/>
                <w:sz w:val="24"/>
                <w:szCs w:val="28"/>
              </w:rPr>
              <w:t>F2</w:t>
            </w:r>
          </w:p>
        </w:tc>
        <w:tc>
          <w:tcPr>
            <w:tcW w:w="1388" w:type="dxa"/>
            <w:shd w:val="clear" w:color="auto" w:fill="auto"/>
            <w:vAlign w:val="center"/>
          </w:tcPr>
          <w:p>
            <w:pPr>
              <w:spacing w:line="440" w:lineRule="exact"/>
              <w:ind w:firstLine="198"/>
              <w:rPr>
                <w:rFonts w:ascii="仿宋_GB2312" w:eastAsia="仿宋_GB2312"/>
                <w:sz w:val="24"/>
                <w:szCs w:val="28"/>
              </w:rPr>
            </w:pPr>
            <w:r>
              <w:rPr>
                <w:rFonts w:hint="eastAsia" w:ascii="仿宋_GB2312" w:hAnsi="TimesNewRomanPSMT" w:eastAsia="仿宋_GB2312" w:cs="TimesNewRomanPSMT"/>
                <w:kern w:val="0"/>
                <w:sz w:val="24"/>
                <w:szCs w:val="28"/>
              </w:rPr>
              <w:t>F1+F2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7"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合计</w:t>
            </w:r>
          </w:p>
        </w:tc>
        <w:tc>
          <w:tcPr>
            <w:tcW w:w="2058" w:type="dxa"/>
            <w:shd w:val="clear" w:color="auto" w:fill="auto"/>
            <w:vAlign w:val="center"/>
          </w:tcPr>
          <w:p>
            <w:pPr>
              <w:spacing w:line="440" w:lineRule="exact"/>
              <w:ind w:firstLine="198"/>
              <w:rPr>
                <w:rFonts w:ascii="仿宋_GB2312" w:eastAsia="仿宋_GB2312"/>
                <w:sz w:val="24"/>
                <w:szCs w:val="28"/>
              </w:rPr>
            </w:pPr>
            <w:r>
              <w:rPr>
                <w:rFonts w:hint="eastAsia" w:ascii="仿宋_GB2312" w:eastAsia="仿宋_GB2312"/>
                <w:sz w:val="24"/>
                <w:szCs w:val="28"/>
              </w:rPr>
              <w:t>A1+B1+C1+D1</w:t>
            </w:r>
          </w:p>
          <w:p>
            <w:pPr>
              <w:spacing w:line="440" w:lineRule="exact"/>
              <w:ind w:firstLine="198"/>
              <w:rPr>
                <w:rFonts w:ascii="仿宋_GB2312" w:eastAsia="仿宋_GB2312"/>
                <w:sz w:val="24"/>
                <w:szCs w:val="28"/>
              </w:rPr>
            </w:pPr>
            <w:r>
              <w:rPr>
                <w:rFonts w:hint="eastAsia" w:ascii="仿宋_GB2312" w:eastAsia="仿宋_GB2312"/>
                <w:sz w:val="24"/>
                <w:szCs w:val="28"/>
              </w:rPr>
              <w:t>+E1+F1</w:t>
            </w:r>
          </w:p>
        </w:tc>
        <w:tc>
          <w:tcPr>
            <w:tcW w:w="2090" w:type="dxa"/>
            <w:vAlign w:val="center"/>
          </w:tcPr>
          <w:p>
            <w:pPr>
              <w:spacing w:line="440" w:lineRule="exact"/>
              <w:ind w:firstLine="198"/>
              <w:rPr>
                <w:rFonts w:ascii="仿宋_GB2312" w:eastAsia="仿宋_GB2312"/>
                <w:sz w:val="24"/>
                <w:szCs w:val="28"/>
              </w:rPr>
            </w:pPr>
            <w:r>
              <w:rPr>
                <w:rFonts w:hint="eastAsia" w:ascii="仿宋_GB2312" w:eastAsia="仿宋_GB2312"/>
                <w:sz w:val="24"/>
                <w:szCs w:val="28"/>
              </w:rPr>
              <w:t>A2+B2+C2+D2</w:t>
            </w:r>
          </w:p>
          <w:p>
            <w:pPr>
              <w:spacing w:line="440" w:lineRule="exact"/>
              <w:ind w:firstLine="198"/>
              <w:rPr>
                <w:rFonts w:ascii="仿宋_GB2312" w:hAnsi="TimesNewRomanPSMT" w:eastAsia="仿宋_GB2312" w:cs="TimesNewRomanPSMT"/>
                <w:kern w:val="0"/>
                <w:sz w:val="24"/>
                <w:szCs w:val="28"/>
              </w:rPr>
            </w:pPr>
            <w:r>
              <w:rPr>
                <w:rFonts w:hint="eastAsia" w:ascii="仿宋_GB2312" w:eastAsia="仿宋_GB2312"/>
                <w:sz w:val="24"/>
                <w:szCs w:val="28"/>
              </w:rPr>
              <w:t>+E2+F2</w:t>
            </w:r>
          </w:p>
        </w:tc>
        <w:tc>
          <w:tcPr>
            <w:tcW w:w="1388" w:type="dxa"/>
            <w:shd w:val="clear" w:color="auto" w:fill="auto"/>
            <w:vAlign w:val="center"/>
          </w:tcPr>
          <w:p>
            <w:pPr>
              <w:autoSpaceDE w:val="0"/>
              <w:autoSpaceDN w:val="0"/>
              <w:adjustRightInd w:val="0"/>
              <w:spacing w:line="440" w:lineRule="exact"/>
              <w:ind w:firstLine="198"/>
              <w:rPr>
                <w:rFonts w:ascii="仿宋_GB2312" w:eastAsia="仿宋_GB2312" w:cs="TimesNewRomanPSMT"/>
                <w:kern w:val="0"/>
                <w:sz w:val="24"/>
                <w:szCs w:val="28"/>
              </w:rPr>
            </w:pPr>
            <w:r>
              <w:rPr>
                <w:rFonts w:hint="eastAsia" w:ascii="仿宋_GB2312" w:eastAsia="仿宋_GB2312" w:cs="TimesNewRomanPSMT"/>
                <w:kern w:val="0"/>
                <w:sz w:val="24"/>
                <w:szCs w:val="28"/>
              </w:rPr>
              <w:t>N</w:t>
            </w:r>
          </w:p>
        </w:tc>
      </w:tr>
    </w:tbl>
    <w:p>
      <w:pPr>
        <w:spacing w:beforeLines="50" w:afterLines="50" w:line="500" w:lineRule="exact"/>
        <w:contextualSpacing/>
        <w:jc w:val="center"/>
        <w:rPr>
          <w:rFonts w:eastAsia="仿宋_GB2312"/>
          <w:kern w:val="0"/>
          <w:sz w:val="24"/>
          <w:szCs w:val="32"/>
        </w:rPr>
      </w:pPr>
      <w:r>
        <w:rPr>
          <w:rFonts w:hint="eastAsia" w:eastAsia="仿宋_GB2312"/>
          <w:kern w:val="0"/>
          <w:sz w:val="24"/>
          <w:szCs w:val="32"/>
        </w:rPr>
        <w:t>表6 ≥CIN2的风险值计算</w:t>
      </w:r>
    </w:p>
    <w:tbl>
      <w:tblPr>
        <w:tblStyle w:val="6"/>
        <w:tblW w:w="9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71"/>
        <w:gridCol w:w="1467"/>
        <w:gridCol w:w="1417"/>
        <w:gridCol w:w="2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705" w:type="dxa"/>
            <w:vMerge w:val="restart"/>
            <w:shd w:val="clear" w:color="auto" w:fill="auto"/>
            <w:vAlign w:val="center"/>
          </w:tcPr>
          <w:p>
            <w:pPr>
              <w:autoSpaceDE w:val="0"/>
              <w:autoSpaceDN w:val="0"/>
              <w:adjustRightInd w:val="0"/>
              <w:spacing w:line="440" w:lineRule="exact"/>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HPV检测结果</w:t>
            </w:r>
          </w:p>
        </w:tc>
        <w:tc>
          <w:tcPr>
            <w:tcW w:w="2271" w:type="dxa"/>
            <w:vMerge w:val="restart"/>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hAnsi="??" w:eastAsia="仿宋_GB2312" w:cs="宋体"/>
                <w:spacing w:val="-20"/>
                <w:kern w:val="0"/>
                <w:sz w:val="24"/>
                <w:szCs w:val="28"/>
              </w:rPr>
              <w:t>绝对风险值</w:t>
            </w:r>
          </w:p>
        </w:tc>
        <w:tc>
          <w:tcPr>
            <w:tcW w:w="2884" w:type="dxa"/>
            <w:gridSpan w:val="2"/>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hAnsi="??" w:eastAsia="仿宋_GB2312" w:cs="宋体"/>
                <w:spacing w:val="-20"/>
                <w:kern w:val="0"/>
                <w:sz w:val="24"/>
                <w:szCs w:val="28"/>
              </w:rPr>
              <w:t>相对风险值</w:t>
            </w:r>
          </w:p>
        </w:tc>
        <w:tc>
          <w:tcPr>
            <w:tcW w:w="2407" w:type="dxa"/>
            <w:vMerge w:val="restart"/>
            <w:shd w:val="clear" w:color="auto" w:fill="auto"/>
            <w:vAlign w:val="center"/>
          </w:tcPr>
          <w:p>
            <w:pPr>
              <w:autoSpaceDE w:val="0"/>
              <w:autoSpaceDN w:val="0"/>
              <w:adjustRightInd w:val="0"/>
              <w:spacing w:line="440" w:lineRule="exact"/>
              <w:ind w:firstLine="400" w:firstLineChars="200"/>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95%置信区间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705" w:type="dxa"/>
            <w:vMerge w:val="continue"/>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p>
        </w:tc>
        <w:tc>
          <w:tcPr>
            <w:tcW w:w="2271" w:type="dxa"/>
            <w:vMerge w:val="continue"/>
            <w:shd w:val="clear" w:color="auto" w:fill="auto"/>
            <w:vAlign w:val="center"/>
          </w:tcPr>
          <w:p>
            <w:pPr>
              <w:autoSpaceDE w:val="0"/>
              <w:autoSpaceDN w:val="0"/>
              <w:adjustRightInd w:val="0"/>
              <w:spacing w:line="440" w:lineRule="exact"/>
              <w:ind w:firstLine="198"/>
              <w:rPr>
                <w:rFonts w:ascii="仿宋_GB2312" w:hAnsi="??" w:eastAsia="仿宋_GB2312" w:cs="宋体"/>
                <w:spacing w:val="-20"/>
                <w:kern w:val="0"/>
                <w:sz w:val="24"/>
                <w:szCs w:val="28"/>
              </w:rPr>
            </w:pPr>
          </w:p>
        </w:tc>
        <w:tc>
          <w:tcPr>
            <w:tcW w:w="1467" w:type="dxa"/>
            <w:vAlign w:val="center"/>
          </w:tcPr>
          <w:p>
            <w:pPr>
              <w:autoSpaceDE w:val="0"/>
              <w:autoSpaceDN w:val="0"/>
              <w:adjustRightInd w:val="0"/>
              <w:spacing w:line="440" w:lineRule="exact"/>
              <w:rPr>
                <w:rFonts w:ascii="仿宋_GB2312" w:hAnsi="??" w:eastAsia="仿宋_GB2312" w:cs="宋体"/>
                <w:spacing w:val="-20"/>
                <w:kern w:val="0"/>
                <w:sz w:val="24"/>
                <w:szCs w:val="28"/>
              </w:rPr>
            </w:pPr>
            <w:r>
              <w:rPr>
                <w:rFonts w:hint="eastAsia" w:ascii="仿宋_GB2312" w:hAnsi="??" w:eastAsia="仿宋_GB2312" w:cs="宋体"/>
                <w:spacing w:val="-20"/>
                <w:kern w:val="0"/>
                <w:sz w:val="24"/>
                <w:szCs w:val="28"/>
              </w:rPr>
              <w:t>相对HPV阴性</w:t>
            </w:r>
          </w:p>
        </w:tc>
        <w:tc>
          <w:tcPr>
            <w:tcW w:w="1417" w:type="dxa"/>
            <w:vAlign w:val="center"/>
          </w:tcPr>
          <w:p>
            <w:pPr>
              <w:autoSpaceDE w:val="0"/>
              <w:autoSpaceDN w:val="0"/>
              <w:adjustRightInd w:val="0"/>
              <w:spacing w:line="440" w:lineRule="exact"/>
              <w:rPr>
                <w:rFonts w:ascii="仿宋_GB2312" w:hAnsi="??" w:eastAsia="仿宋_GB2312" w:cs="宋体"/>
                <w:spacing w:val="-20"/>
                <w:kern w:val="0"/>
                <w:sz w:val="24"/>
                <w:szCs w:val="28"/>
              </w:rPr>
            </w:pPr>
            <w:r>
              <w:rPr>
                <w:rFonts w:hint="eastAsia" w:ascii="仿宋_GB2312" w:hAnsi="??" w:eastAsia="仿宋_GB2312" w:cs="宋体"/>
                <w:spacing w:val="-20"/>
                <w:kern w:val="0"/>
                <w:sz w:val="24"/>
                <w:szCs w:val="28"/>
              </w:rPr>
              <w:t>相对其他HPV阳性</w:t>
            </w:r>
          </w:p>
        </w:tc>
        <w:tc>
          <w:tcPr>
            <w:tcW w:w="2407" w:type="dxa"/>
            <w:vMerge w:val="continue"/>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HPV16阳性</w:t>
            </w:r>
          </w:p>
        </w:tc>
        <w:tc>
          <w:tcPr>
            <w:tcW w:w="2271"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X1=A1/（A1+A2）</w:t>
            </w:r>
          </w:p>
        </w:tc>
        <w:tc>
          <w:tcPr>
            <w:tcW w:w="1467" w:type="dxa"/>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X1/X0</w:t>
            </w:r>
          </w:p>
        </w:tc>
        <w:tc>
          <w:tcPr>
            <w:tcW w:w="1417" w:type="dxa"/>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X1/X4</w:t>
            </w:r>
          </w:p>
        </w:tc>
        <w:tc>
          <w:tcPr>
            <w:tcW w:w="2407"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（2.5%，97.5%）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HPV18阳性</w:t>
            </w:r>
          </w:p>
        </w:tc>
        <w:tc>
          <w:tcPr>
            <w:tcW w:w="2271"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X2=B1/（B1+B2）</w:t>
            </w:r>
          </w:p>
        </w:tc>
        <w:tc>
          <w:tcPr>
            <w:tcW w:w="1467" w:type="dxa"/>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X2/X0</w:t>
            </w:r>
          </w:p>
        </w:tc>
        <w:tc>
          <w:tcPr>
            <w:tcW w:w="1417" w:type="dxa"/>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X2/X4</w:t>
            </w:r>
          </w:p>
        </w:tc>
        <w:tc>
          <w:tcPr>
            <w:tcW w:w="2407"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（2.5%，97.5%）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HPV16和/或18阳性</w:t>
            </w:r>
          </w:p>
        </w:tc>
        <w:tc>
          <w:tcPr>
            <w:tcW w:w="2271"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X3=C1/（C1+C2）</w:t>
            </w:r>
          </w:p>
        </w:tc>
        <w:tc>
          <w:tcPr>
            <w:tcW w:w="1467" w:type="dxa"/>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X3/X0</w:t>
            </w:r>
          </w:p>
        </w:tc>
        <w:tc>
          <w:tcPr>
            <w:tcW w:w="1417" w:type="dxa"/>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X3/X4</w:t>
            </w:r>
          </w:p>
        </w:tc>
        <w:tc>
          <w:tcPr>
            <w:tcW w:w="2407"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（2.5%，97.5%）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HPV其他型</w:t>
            </w:r>
          </w:p>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阳性</w:t>
            </w:r>
          </w:p>
        </w:tc>
        <w:tc>
          <w:tcPr>
            <w:tcW w:w="2271"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X4=</w:t>
            </w:r>
            <w:r>
              <w:rPr>
                <w:rFonts w:hint="eastAsia" w:ascii="仿宋_GB2312" w:hAnsi="TimesNewRomanPSMT" w:eastAsia="仿宋_GB2312" w:cs="TimesNewRomanPSMT"/>
                <w:spacing w:val="-20"/>
                <w:kern w:val="0"/>
                <w:sz w:val="24"/>
                <w:szCs w:val="28"/>
              </w:rPr>
              <w:t>D1/（D1+D2）</w:t>
            </w:r>
          </w:p>
        </w:tc>
        <w:tc>
          <w:tcPr>
            <w:tcW w:w="1467" w:type="dxa"/>
            <w:vAlign w:val="center"/>
          </w:tcPr>
          <w:p>
            <w:pPr>
              <w:spacing w:line="440" w:lineRule="exact"/>
              <w:ind w:firstLine="198"/>
              <w:rPr>
                <w:rFonts w:ascii="仿宋_GB2312" w:hAnsi="TimesNewRomanPSMT" w:eastAsia="仿宋_GB2312" w:cs="TimesNewRomanPSMT"/>
                <w:spacing w:val="-20"/>
                <w:kern w:val="0"/>
                <w:sz w:val="24"/>
                <w:szCs w:val="28"/>
              </w:rPr>
            </w:pPr>
            <w:r>
              <w:rPr>
                <w:rFonts w:hint="eastAsia" w:ascii="仿宋_GB2312" w:eastAsia="仿宋_GB2312" w:cs="TimesNewRomanPSMT"/>
                <w:spacing w:val="-20"/>
                <w:kern w:val="0"/>
                <w:sz w:val="24"/>
                <w:szCs w:val="28"/>
              </w:rPr>
              <w:t>X4/X0</w:t>
            </w:r>
          </w:p>
        </w:tc>
        <w:tc>
          <w:tcPr>
            <w:tcW w:w="1417" w:type="dxa"/>
            <w:vAlign w:val="center"/>
          </w:tcPr>
          <w:p>
            <w:pPr>
              <w:spacing w:line="440" w:lineRule="exact"/>
              <w:ind w:firstLine="198"/>
              <w:rPr>
                <w:rFonts w:ascii="仿宋_GB2312" w:eastAsia="仿宋_GB2312" w:cs="TimesNewRomanPSMT"/>
                <w:spacing w:val="-20"/>
                <w:kern w:val="0"/>
                <w:sz w:val="24"/>
                <w:szCs w:val="28"/>
              </w:rPr>
            </w:pPr>
            <w:r>
              <w:rPr>
                <w:rFonts w:hint="eastAsia" w:ascii="仿宋_GB2312" w:hAnsi="TimesNewRomanPSMT" w:eastAsia="仿宋_GB2312" w:cs="TimesNewRomanPSMT"/>
                <w:spacing w:val="-20"/>
                <w:kern w:val="0"/>
                <w:sz w:val="24"/>
                <w:szCs w:val="28"/>
              </w:rPr>
              <w:t>-</w:t>
            </w:r>
          </w:p>
        </w:tc>
        <w:tc>
          <w:tcPr>
            <w:tcW w:w="2407" w:type="dxa"/>
            <w:shd w:val="clear" w:color="auto" w:fill="auto"/>
            <w:vAlign w:val="center"/>
          </w:tcPr>
          <w:p>
            <w:pPr>
              <w:spacing w:line="440" w:lineRule="exact"/>
              <w:ind w:firstLine="198"/>
              <w:rPr>
                <w:rFonts w:ascii="仿宋_GB2312" w:eastAsia="仿宋_GB2312"/>
                <w:spacing w:val="-20"/>
                <w:sz w:val="24"/>
                <w:szCs w:val="28"/>
              </w:rPr>
            </w:pPr>
            <w:r>
              <w:rPr>
                <w:rFonts w:hint="eastAsia" w:ascii="仿宋_GB2312" w:eastAsia="仿宋_GB2312" w:cs="TimesNewRomanPSMT"/>
                <w:spacing w:val="-20"/>
                <w:kern w:val="0"/>
                <w:sz w:val="24"/>
                <w:szCs w:val="28"/>
              </w:rPr>
              <w:t>（2.5%，97.5%）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HPV阳性</w:t>
            </w:r>
          </w:p>
        </w:tc>
        <w:tc>
          <w:tcPr>
            <w:tcW w:w="2271" w:type="dxa"/>
            <w:shd w:val="clear" w:color="auto" w:fill="auto"/>
            <w:vAlign w:val="center"/>
          </w:tcPr>
          <w:p>
            <w:pPr>
              <w:autoSpaceDE w:val="0"/>
              <w:autoSpaceDN w:val="0"/>
              <w:adjustRightInd w:val="0"/>
              <w:spacing w:line="440" w:lineRule="exact"/>
              <w:ind w:firstLine="198"/>
              <w:rPr>
                <w:rFonts w:ascii="仿宋_GB2312" w:hAnsi="TimesNewRomanPSMT" w:eastAsia="仿宋_GB2312" w:cs="TimesNewRomanPSMT"/>
                <w:spacing w:val="-20"/>
                <w:kern w:val="0"/>
                <w:sz w:val="24"/>
                <w:szCs w:val="28"/>
              </w:rPr>
            </w:pPr>
            <w:r>
              <w:rPr>
                <w:rFonts w:hint="eastAsia" w:ascii="仿宋_GB2312" w:hAnsi="TimesNewRomanPSMT" w:eastAsia="仿宋_GB2312" w:cs="TimesNewRomanPSMT"/>
                <w:spacing w:val="-20"/>
                <w:kern w:val="0"/>
                <w:sz w:val="24"/>
                <w:szCs w:val="28"/>
              </w:rPr>
              <w:t>X5=E1/（E1+E2）</w:t>
            </w:r>
          </w:p>
        </w:tc>
        <w:tc>
          <w:tcPr>
            <w:tcW w:w="1467" w:type="dxa"/>
            <w:vAlign w:val="center"/>
          </w:tcPr>
          <w:p>
            <w:pPr>
              <w:spacing w:line="440" w:lineRule="exact"/>
              <w:ind w:firstLine="198"/>
              <w:rPr>
                <w:rFonts w:ascii="仿宋_GB2312" w:hAnsi="TimesNewRomanPSMT" w:eastAsia="仿宋_GB2312" w:cs="TimesNewRomanPSMT"/>
                <w:spacing w:val="-20"/>
                <w:kern w:val="0"/>
                <w:sz w:val="24"/>
                <w:szCs w:val="28"/>
              </w:rPr>
            </w:pPr>
            <w:r>
              <w:rPr>
                <w:rFonts w:hint="eastAsia" w:ascii="仿宋_GB2312" w:eastAsia="仿宋_GB2312" w:cs="TimesNewRomanPSMT"/>
                <w:spacing w:val="-20"/>
                <w:kern w:val="0"/>
                <w:sz w:val="24"/>
                <w:szCs w:val="28"/>
              </w:rPr>
              <w:t>X5/X0</w:t>
            </w:r>
          </w:p>
        </w:tc>
        <w:tc>
          <w:tcPr>
            <w:tcW w:w="1417" w:type="dxa"/>
            <w:vAlign w:val="center"/>
          </w:tcPr>
          <w:p>
            <w:pPr>
              <w:spacing w:line="440" w:lineRule="exact"/>
              <w:ind w:firstLine="198"/>
              <w:rPr>
                <w:rFonts w:ascii="仿宋_GB2312" w:eastAsia="仿宋_GB2312" w:cs="TimesNewRomanPSMT"/>
                <w:spacing w:val="-20"/>
                <w:kern w:val="0"/>
                <w:sz w:val="24"/>
                <w:szCs w:val="28"/>
              </w:rPr>
            </w:pPr>
            <w:r>
              <w:rPr>
                <w:rFonts w:hint="eastAsia" w:ascii="仿宋_GB2312" w:hAnsi="TimesNewRomanPSMT" w:eastAsia="仿宋_GB2312" w:cs="TimesNewRomanPSMT"/>
                <w:spacing w:val="-20"/>
                <w:kern w:val="0"/>
                <w:sz w:val="24"/>
                <w:szCs w:val="28"/>
              </w:rPr>
              <w:t>-</w:t>
            </w:r>
          </w:p>
        </w:tc>
        <w:tc>
          <w:tcPr>
            <w:tcW w:w="2407" w:type="dxa"/>
            <w:shd w:val="clear" w:color="auto" w:fill="auto"/>
            <w:vAlign w:val="center"/>
          </w:tcPr>
          <w:p>
            <w:pPr>
              <w:spacing w:line="440" w:lineRule="exact"/>
              <w:ind w:firstLine="198"/>
              <w:rPr>
                <w:rFonts w:ascii="仿宋_GB2312" w:hAnsi="TimesNewRomanPSMT" w:eastAsia="仿宋_GB2312" w:cs="TimesNewRomanPSMT"/>
                <w:spacing w:val="-20"/>
                <w:kern w:val="0"/>
                <w:sz w:val="24"/>
                <w:szCs w:val="28"/>
              </w:rPr>
            </w:pPr>
            <w:r>
              <w:rPr>
                <w:rFonts w:hint="eastAsia" w:ascii="仿宋_GB2312" w:eastAsia="仿宋_GB2312" w:cs="TimesNewRomanPSMT"/>
                <w:spacing w:val="-20"/>
                <w:kern w:val="0"/>
                <w:sz w:val="24"/>
                <w:szCs w:val="28"/>
              </w:rPr>
              <w:t>（2.5%，97.5%）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5" w:type="dxa"/>
            <w:shd w:val="clear" w:color="auto" w:fill="auto"/>
            <w:vAlign w:val="center"/>
          </w:tcPr>
          <w:p>
            <w:pPr>
              <w:autoSpaceDE w:val="0"/>
              <w:autoSpaceDN w:val="0"/>
              <w:adjustRightInd w:val="0"/>
              <w:spacing w:line="440" w:lineRule="exact"/>
              <w:ind w:firstLine="198"/>
              <w:rPr>
                <w:rFonts w:ascii="仿宋_GB2312" w:eastAsia="仿宋_GB2312" w:cs="TimesNewRomanPSMT"/>
                <w:spacing w:val="-20"/>
                <w:kern w:val="0"/>
                <w:sz w:val="24"/>
                <w:szCs w:val="28"/>
              </w:rPr>
            </w:pPr>
            <w:r>
              <w:rPr>
                <w:rFonts w:hint="eastAsia" w:ascii="仿宋_GB2312" w:eastAsia="仿宋_GB2312" w:cs="TimesNewRomanPSMT"/>
                <w:spacing w:val="-20"/>
                <w:kern w:val="0"/>
                <w:sz w:val="24"/>
                <w:szCs w:val="28"/>
              </w:rPr>
              <w:t>HPV阴性</w:t>
            </w:r>
          </w:p>
        </w:tc>
        <w:tc>
          <w:tcPr>
            <w:tcW w:w="2271" w:type="dxa"/>
            <w:shd w:val="clear" w:color="auto" w:fill="auto"/>
            <w:vAlign w:val="center"/>
          </w:tcPr>
          <w:p>
            <w:pPr>
              <w:spacing w:line="440" w:lineRule="exact"/>
              <w:ind w:firstLine="198"/>
              <w:rPr>
                <w:rFonts w:ascii="仿宋_GB2312" w:eastAsia="仿宋_GB2312"/>
                <w:spacing w:val="-20"/>
                <w:sz w:val="24"/>
                <w:szCs w:val="28"/>
              </w:rPr>
            </w:pPr>
            <w:r>
              <w:rPr>
                <w:rFonts w:hint="eastAsia" w:ascii="仿宋_GB2312" w:hAnsi="TimesNewRomanPSMT" w:eastAsia="仿宋_GB2312" w:cs="TimesNewRomanPSMT"/>
                <w:spacing w:val="-20"/>
                <w:kern w:val="0"/>
                <w:sz w:val="24"/>
                <w:szCs w:val="28"/>
              </w:rPr>
              <w:t>X0=F1/（F1+F2）</w:t>
            </w:r>
          </w:p>
        </w:tc>
        <w:tc>
          <w:tcPr>
            <w:tcW w:w="1467" w:type="dxa"/>
            <w:vAlign w:val="center"/>
          </w:tcPr>
          <w:p>
            <w:pPr>
              <w:spacing w:line="440" w:lineRule="exact"/>
              <w:ind w:firstLine="198"/>
              <w:rPr>
                <w:rFonts w:ascii="仿宋_GB2312" w:hAnsi="TimesNewRomanPSMT" w:eastAsia="仿宋_GB2312" w:cs="TimesNewRomanPSMT"/>
                <w:spacing w:val="-20"/>
                <w:kern w:val="0"/>
                <w:sz w:val="24"/>
                <w:szCs w:val="28"/>
              </w:rPr>
            </w:pPr>
            <w:r>
              <w:rPr>
                <w:rFonts w:hint="eastAsia" w:ascii="仿宋_GB2312" w:hAnsi="TimesNewRomanPSMT" w:eastAsia="仿宋_GB2312" w:cs="TimesNewRomanPSMT"/>
                <w:spacing w:val="-20"/>
                <w:kern w:val="0"/>
                <w:sz w:val="24"/>
                <w:szCs w:val="28"/>
              </w:rPr>
              <w:t>-</w:t>
            </w:r>
          </w:p>
        </w:tc>
        <w:tc>
          <w:tcPr>
            <w:tcW w:w="1417" w:type="dxa"/>
            <w:vAlign w:val="center"/>
          </w:tcPr>
          <w:p>
            <w:pPr>
              <w:spacing w:line="440" w:lineRule="exact"/>
              <w:ind w:firstLine="198"/>
              <w:rPr>
                <w:rFonts w:ascii="仿宋_GB2312" w:eastAsia="仿宋_GB2312"/>
                <w:spacing w:val="-20"/>
                <w:sz w:val="24"/>
                <w:szCs w:val="28"/>
              </w:rPr>
            </w:pPr>
            <w:r>
              <w:rPr>
                <w:rFonts w:hint="eastAsia" w:ascii="仿宋_GB2312" w:hAnsi="TimesNewRomanPSMT" w:eastAsia="仿宋_GB2312" w:cs="TimesNewRomanPSMT"/>
                <w:spacing w:val="-20"/>
                <w:kern w:val="0"/>
                <w:sz w:val="24"/>
                <w:szCs w:val="28"/>
              </w:rPr>
              <w:t>-</w:t>
            </w:r>
          </w:p>
        </w:tc>
        <w:tc>
          <w:tcPr>
            <w:tcW w:w="2407" w:type="dxa"/>
            <w:shd w:val="clear" w:color="auto" w:fill="auto"/>
            <w:vAlign w:val="center"/>
          </w:tcPr>
          <w:p>
            <w:pPr>
              <w:spacing w:line="440" w:lineRule="exact"/>
              <w:ind w:firstLine="198"/>
              <w:rPr>
                <w:rFonts w:ascii="仿宋_GB2312" w:eastAsia="仿宋_GB2312"/>
                <w:spacing w:val="-20"/>
                <w:sz w:val="24"/>
                <w:szCs w:val="28"/>
              </w:rPr>
            </w:pPr>
            <w:r>
              <w:rPr>
                <w:rFonts w:hint="eastAsia" w:ascii="仿宋_GB2312" w:hAnsi="TimesNewRomanPSMT" w:eastAsia="仿宋_GB2312" w:cs="TimesNewRomanPSMT"/>
                <w:spacing w:val="-20"/>
                <w:kern w:val="0"/>
                <w:sz w:val="24"/>
                <w:szCs w:val="28"/>
              </w:rPr>
              <w:t>-</w:t>
            </w:r>
          </w:p>
        </w:tc>
      </w:tr>
    </w:tbl>
    <w:p>
      <w:pPr>
        <w:ind w:firstLine="480" w:firstLineChars="200"/>
        <w:contextualSpacing/>
        <w:rPr>
          <w:rFonts w:ascii="仿宋_GB2312" w:hAnsi="??" w:eastAsia="仿宋_GB2312" w:cs="宋体"/>
          <w:kern w:val="0"/>
          <w:sz w:val="24"/>
          <w:szCs w:val="32"/>
        </w:rPr>
      </w:pPr>
    </w:p>
    <w:p>
      <w:pPr>
        <w:spacing w:line="420" w:lineRule="exact"/>
        <w:ind w:firstLine="480" w:firstLineChars="200"/>
        <w:contextualSpacing/>
        <w:rPr>
          <w:rFonts w:eastAsia="仿宋_GB2312"/>
          <w:kern w:val="0"/>
          <w:sz w:val="24"/>
          <w:szCs w:val="32"/>
        </w:rPr>
      </w:pPr>
      <w:r>
        <w:rPr>
          <w:rFonts w:eastAsia="仿宋_GB2312"/>
          <w:kern w:val="0"/>
          <w:sz w:val="24"/>
          <w:szCs w:val="32"/>
        </w:rPr>
        <w:t>95%置信区间的计算方法推荐：Altman等人提出的Score Method或Clopper等人提出的Clopper-Pearson Method。</w:t>
      </w:r>
    </w:p>
    <w:p>
      <w:pPr>
        <w:spacing w:line="420" w:lineRule="exact"/>
        <w:ind w:firstLine="480" w:firstLineChars="200"/>
        <w:contextualSpacing/>
        <w:rPr>
          <w:rFonts w:eastAsia="仿宋_GB2312"/>
          <w:kern w:val="0"/>
          <w:sz w:val="24"/>
          <w:szCs w:val="32"/>
        </w:rPr>
      </w:pPr>
      <w:r>
        <w:rPr>
          <w:rFonts w:eastAsia="仿宋_GB2312"/>
          <w:kern w:val="0"/>
          <w:sz w:val="24"/>
          <w:szCs w:val="32"/>
        </w:rPr>
        <w:t>样本要求：此项临床试验的入组人群应尽量在不同的年龄范围均有分布（30～39和40以上）。应根据检测试剂灵敏度要求、疾病发病率等对入组样本例数进行科学的分析和计算，并根据临床实际情况对病例脱落比例设定合理要求，随访终点病理学检查结果≥CIN2的例数应不少于60例。</w:t>
      </w:r>
    </w:p>
    <w:p>
      <w:pPr>
        <w:spacing w:line="420" w:lineRule="exact"/>
        <w:ind w:firstLine="480" w:firstLineChars="200"/>
        <w:contextualSpacing/>
        <w:rPr>
          <w:rFonts w:eastAsia="仿宋_GB2312"/>
          <w:kern w:val="0"/>
          <w:sz w:val="24"/>
          <w:szCs w:val="32"/>
        </w:rPr>
      </w:pPr>
      <w:r>
        <w:rPr>
          <w:rFonts w:eastAsia="仿宋_GB2312"/>
          <w:kern w:val="0"/>
          <w:sz w:val="24"/>
          <w:szCs w:val="32"/>
        </w:rPr>
        <w:t>1.2.3针对宫颈癌初筛用途，申请人应按照此项预期用途所述，随机选取需接受常规宫颈癌筛查且宫颈细胞学检查结果未知的女性作为受试者。</w:t>
      </w:r>
    </w:p>
    <w:p>
      <w:pPr>
        <w:spacing w:line="420" w:lineRule="exact"/>
        <w:ind w:firstLine="480" w:firstLineChars="200"/>
        <w:contextualSpacing/>
        <w:rPr>
          <w:rFonts w:eastAsia="仿宋_GB2312"/>
          <w:kern w:val="0"/>
          <w:sz w:val="24"/>
          <w:szCs w:val="32"/>
        </w:rPr>
      </w:pPr>
      <w:r>
        <w:rPr>
          <w:rFonts w:eastAsia="仿宋_GB2312"/>
          <w:kern w:val="0"/>
          <w:sz w:val="24"/>
          <w:szCs w:val="32"/>
        </w:rPr>
        <w:t>基础检查：所有受试者分别进行HPV检测和细胞学检查，作为基础检查数据；其中，（HPV基因分型试剂）检测结果为16/18型（或其他可鉴别基因型）阳性的受试者、HPV阳性同时细胞学检查结果≥ASC-US的受试者应立即进行阴道镜检查，必要时结合组织病理学检查，结果为≥CIN2的受试者判为“阳性”，不再进行下述随访，其他受试者进入随访程序。</w:t>
      </w:r>
    </w:p>
    <w:p>
      <w:pPr>
        <w:spacing w:line="420" w:lineRule="exact"/>
        <w:ind w:firstLine="480" w:firstLineChars="200"/>
        <w:contextualSpacing/>
        <w:rPr>
          <w:rFonts w:eastAsia="仿宋_GB2312"/>
          <w:kern w:val="0"/>
          <w:sz w:val="24"/>
          <w:szCs w:val="32"/>
        </w:rPr>
      </w:pPr>
      <w:r>
        <w:rPr>
          <w:rFonts w:eastAsia="仿宋_GB2312"/>
          <w:kern w:val="0"/>
          <w:sz w:val="24"/>
          <w:szCs w:val="32"/>
        </w:rPr>
        <w:t>受试者随访：随访时间至少持续三年。基础检查结果HPV阳性或细胞学检查≥ASC-US的受试者每年接受随访，HPV阴性且细胞学检查为正常的受试者每三年接受一次随访，以及在随访终点接受随访。随访方法与上述第1.2.2条所述一致，至至少三年或组织病理学检查结果为≥CIN2。</w:t>
      </w:r>
    </w:p>
    <w:p>
      <w:pPr>
        <w:spacing w:line="420" w:lineRule="exact"/>
        <w:ind w:firstLine="480" w:firstLineChars="200"/>
        <w:contextualSpacing/>
        <w:rPr>
          <w:rFonts w:eastAsia="仿宋_GB2312"/>
          <w:kern w:val="0"/>
          <w:sz w:val="24"/>
          <w:szCs w:val="32"/>
        </w:rPr>
      </w:pPr>
      <w:r>
        <w:rPr>
          <w:rFonts w:eastAsia="仿宋_GB2312"/>
          <w:kern w:val="0"/>
          <w:sz w:val="24"/>
          <w:szCs w:val="32"/>
        </w:rPr>
        <w:t>统计学分析：可参照上述第1.2.2条所述方法，HPV+组相对于HPV-组应呈现具有显著性差异的高风险值,NILM组相对于HPV-组应呈现具有显著差性异的高风险值。对于HPV基因分型检测试剂，还应分别评估可鉴别基因型阳性结果如HPV16+、HPV18+、HPV16和/或18+等相对于HPV阴性和相对于其他HPV基因型别阳性的风险，以及其他HPV基因型别阳性及HPV阳性相对于HPV阴性的风险。此外，HPV阴性人群的绝对风险值应足够低；同时计算受试人群总体的≥CIN2绝对风险值和≥CIN3绝对风险值。</w:t>
      </w:r>
    </w:p>
    <w:p>
      <w:pPr>
        <w:spacing w:line="420" w:lineRule="exact"/>
        <w:ind w:firstLine="480" w:firstLineChars="200"/>
        <w:contextualSpacing/>
        <w:rPr>
          <w:rFonts w:eastAsia="仿宋_GB2312"/>
          <w:kern w:val="0"/>
          <w:sz w:val="24"/>
          <w:szCs w:val="32"/>
        </w:rPr>
      </w:pPr>
      <w:r>
        <w:rPr>
          <w:rFonts w:eastAsia="仿宋_GB2312"/>
          <w:kern w:val="0"/>
          <w:sz w:val="24"/>
          <w:szCs w:val="32"/>
        </w:rPr>
        <w:t>此项临床试验的入组人群同样应在适用的年龄范围内的不同年龄段均有分布（&lt;30、30</w:t>
      </w:r>
      <w:r>
        <w:rPr>
          <w:rFonts w:eastAsia="仿宋_GB2312"/>
          <w:sz w:val="24"/>
          <w:szCs w:val="32"/>
        </w:rPr>
        <w:t>～</w:t>
      </w:r>
      <w:r>
        <w:rPr>
          <w:rFonts w:eastAsia="仿宋_GB2312"/>
          <w:kern w:val="0"/>
          <w:sz w:val="24"/>
          <w:szCs w:val="32"/>
        </w:rPr>
        <w:t>39和40以上），且各年龄段人群均具有一定数量，特别是当该预期用途适用于30岁以下人群时，该年龄段应有一定的阳性样本量，并针对该年龄段单独进行数据统计分析，以验证该试剂的初筛性能。样本例数、脱落比例的要求可参考上述第1.2.2条。</w:t>
      </w:r>
    </w:p>
    <w:p>
      <w:pPr>
        <w:spacing w:line="420" w:lineRule="exact"/>
        <w:ind w:firstLine="480" w:firstLineChars="200"/>
        <w:contextualSpacing/>
        <w:rPr>
          <w:rFonts w:eastAsia="仿宋_GB2312"/>
          <w:b/>
          <w:bCs/>
          <w:kern w:val="0"/>
          <w:sz w:val="24"/>
          <w:szCs w:val="32"/>
        </w:rPr>
      </w:pPr>
      <w:r>
        <w:rPr>
          <w:rFonts w:eastAsia="仿宋_GB2312"/>
          <w:kern w:val="0"/>
          <w:sz w:val="24"/>
          <w:szCs w:val="32"/>
        </w:rPr>
        <w:t>综上，申请人应分别从HPV核酸检测准确性和临床意义两方面评价产品的临床性能。若临床试验未得到有显著统计学意义的结果，申请人应考虑阳性判断值设置是否科学，受试者入组标准是否存在偏差，受试者例数是否足够，病例脱落比例是否可以接受，或者随访年限是否需要延长等因素。同时，值得注意的是，临床试验的结果需综合评价，除了有关灵敏度、特异性、预期值、似然比、风险值的评价以外，</w:t>
      </w:r>
      <w:r>
        <w:rPr>
          <w:rFonts w:eastAsia="仿宋_GB2312"/>
          <w:b/>
          <w:bCs/>
          <w:kern w:val="0"/>
          <w:sz w:val="24"/>
          <w:szCs w:val="32"/>
        </w:rPr>
        <w:t>HPV阳性率及CIN发病率等的统计同样重要，应符合客观规律。</w:t>
      </w:r>
    </w:p>
    <w:p>
      <w:pPr>
        <w:spacing w:line="420" w:lineRule="exact"/>
        <w:ind w:firstLine="480" w:firstLineChars="200"/>
        <w:rPr>
          <w:rFonts w:eastAsia="仿宋_GB2312"/>
          <w:kern w:val="0"/>
          <w:sz w:val="24"/>
          <w:szCs w:val="32"/>
        </w:rPr>
      </w:pPr>
      <w:r>
        <w:rPr>
          <w:rFonts w:eastAsia="仿宋_GB2312"/>
          <w:kern w:val="0"/>
          <w:sz w:val="24"/>
          <w:szCs w:val="32"/>
        </w:rPr>
        <w:t>2.临床试验机构的选择</w:t>
      </w:r>
    </w:p>
    <w:p>
      <w:pPr>
        <w:spacing w:line="420" w:lineRule="exact"/>
        <w:ind w:firstLine="480" w:firstLineChars="200"/>
        <w:rPr>
          <w:rFonts w:eastAsia="仿宋_GB2312"/>
          <w:kern w:val="0"/>
          <w:sz w:val="24"/>
          <w:szCs w:val="32"/>
        </w:rPr>
      </w:pPr>
      <w:r>
        <w:rPr>
          <w:rFonts w:eastAsia="仿宋_GB2312"/>
          <w:kern w:val="0"/>
          <w:sz w:val="24"/>
          <w:szCs w:val="32"/>
        </w:rPr>
        <w:t>应选择不少于3家（含3家）临床试验机构，按照相关法规、指导原则的要求开展临床试验。临床试验机构应获得国家食品药品监督管理总局资质认可，其选择应尽量考虑拟申报产品的特点和预期用途，综合流行病学背景，使临床试验机构和受试者的选择具有一定的地域代表性。且临床试验机构应具有分子生物学方法检测的优势，实验操作人员应有足够的时间熟悉检测系统的各环节，熟悉评价方案。</w:t>
      </w:r>
    </w:p>
    <w:p>
      <w:pPr>
        <w:spacing w:line="420" w:lineRule="exact"/>
        <w:ind w:firstLine="480" w:firstLineChars="200"/>
        <w:rPr>
          <w:rFonts w:eastAsia="仿宋_GB2312"/>
          <w:kern w:val="0"/>
          <w:sz w:val="24"/>
          <w:szCs w:val="32"/>
        </w:rPr>
      </w:pPr>
      <w:r>
        <w:rPr>
          <w:rFonts w:eastAsia="仿宋_GB2312"/>
          <w:kern w:val="0"/>
          <w:sz w:val="24"/>
          <w:szCs w:val="32"/>
        </w:rPr>
        <w:t>3.伦理学要求</w:t>
      </w:r>
    </w:p>
    <w:p>
      <w:pPr>
        <w:spacing w:line="420" w:lineRule="exact"/>
        <w:ind w:firstLine="480" w:firstLineChars="200"/>
        <w:rPr>
          <w:rFonts w:eastAsia="仿宋_GB2312"/>
          <w:kern w:val="0"/>
          <w:sz w:val="24"/>
          <w:szCs w:val="32"/>
        </w:rPr>
      </w:pPr>
      <w:r>
        <w:rPr>
          <w:rFonts w:eastAsia="仿宋_GB2312"/>
          <w:kern w:val="0"/>
          <w:sz w:val="24"/>
          <w:szCs w:val="32"/>
        </w:rPr>
        <w:t>临床试验必须符合赫尔辛基宣言的伦理学准则,必须获得临床试验机构伦理委员会的同意。研究者应考虑临床试验用样本的获得和试验结果对受试者的风险性，应提交伦理委员会的审查意见及受试者的知情同意书。</w:t>
      </w:r>
    </w:p>
    <w:p>
      <w:pPr>
        <w:spacing w:line="420" w:lineRule="exact"/>
        <w:ind w:firstLine="480" w:firstLineChars="200"/>
        <w:rPr>
          <w:rFonts w:eastAsia="仿宋_GB2312"/>
          <w:kern w:val="0"/>
          <w:sz w:val="24"/>
          <w:szCs w:val="32"/>
        </w:rPr>
      </w:pPr>
      <w:r>
        <w:rPr>
          <w:rFonts w:eastAsia="仿宋_GB2312"/>
          <w:kern w:val="0"/>
          <w:sz w:val="24"/>
          <w:szCs w:val="32"/>
        </w:rPr>
        <w:t>4.临床试验方案</w:t>
      </w:r>
    </w:p>
    <w:p>
      <w:pPr>
        <w:spacing w:line="420" w:lineRule="exact"/>
        <w:ind w:firstLine="480" w:firstLineChars="200"/>
        <w:rPr>
          <w:rFonts w:eastAsia="仿宋_GB2312"/>
          <w:kern w:val="0"/>
          <w:sz w:val="24"/>
          <w:szCs w:val="32"/>
        </w:rPr>
      </w:pPr>
      <w:r>
        <w:rPr>
          <w:rFonts w:eastAsia="仿宋_GB2312"/>
          <w:kern w:val="0"/>
          <w:sz w:val="24"/>
          <w:szCs w:val="32"/>
        </w:rPr>
        <w:t>开展临床试验前，申请人应与各临床试验机构协商制定统一的、科学合理的临床试验方案，并按照临床试验方案组织制定标准操作规程，并进行验证，以确保临床试验操作在各个临床试验机构之间的一致性。在整个临床试验过程中均应遵循预定的方案，不可随意改动。临床试验应在临床试验机构的实验室内进行，并由本实验室的技术人员操作，申报单位的技术人员除进行必要的技术指导外，不得随意干涉试验进程，尤其是数据收集过程。</w:t>
      </w:r>
    </w:p>
    <w:p>
      <w:pPr>
        <w:spacing w:line="420" w:lineRule="exact"/>
        <w:ind w:firstLine="480" w:firstLineChars="200"/>
        <w:rPr>
          <w:rFonts w:eastAsia="仿宋_GB2312"/>
          <w:kern w:val="0"/>
          <w:sz w:val="24"/>
          <w:szCs w:val="32"/>
        </w:rPr>
      </w:pPr>
      <w:r>
        <w:rPr>
          <w:rFonts w:eastAsia="仿宋_GB2312"/>
          <w:kern w:val="0"/>
          <w:sz w:val="24"/>
          <w:szCs w:val="32"/>
        </w:rPr>
        <w:t>试验方案中应确定严格的病例纳入/排除标准，任何已经入选的病例再被排除出临床试验都应记录在案并明确说明原因。在试验操作过程中和判定试验结果时应采用盲法以保证试验结果的客观性，并在临床试验方案中详细说明样本编盲和揭盲的操作流程。</w:t>
      </w:r>
    </w:p>
    <w:p>
      <w:pPr>
        <w:spacing w:line="420" w:lineRule="exact"/>
        <w:ind w:firstLine="480" w:firstLineChars="200"/>
        <w:rPr>
          <w:rFonts w:eastAsia="仿宋_GB2312"/>
          <w:kern w:val="0"/>
          <w:sz w:val="24"/>
          <w:szCs w:val="32"/>
        </w:rPr>
      </w:pPr>
      <w:r>
        <w:rPr>
          <w:rFonts w:eastAsia="仿宋_GB2312"/>
          <w:kern w:val="0"/>
          <w:sz w:val="24"/>
          <w:szCs w:val="32"/>
        </w:rPr>
        <w:t>关于比较研究试验，各临床试验机构选用的对比方法和结果不符样本的确认方法应一致，以便进行合理的统计学分析；临床试验中涉及宫颈细胞学检查、阴道镜检查及组织病理学检查，应采用统一判读标准等手段，保持各临床研究机构间判读的一致性；受试者随访中样本脱落的判定标准以及试验数据分析和统计方法等亦应在各临床研究机构间保持一致。以上内容均应在临床试验方案中有明确、清晰的表述。</w:t>
      </w:r>
    </w:p>
    <w:p>
      <w:pPr>
        <w:spacing w:line="420" w:lineRule="exact"/>
        <w:ind w:firstLine="480" w:firstLineChars="200"/>
        <w:rPr>
          <w:rFonts w:eastAsia="仿宋_GB2312"/>
          <w:kern w:val="0"/>
          <w:sz w:val="24"/>
          <w:szCs w:val="32"/>
        </w:rPr>
      </w:pPr>
      <w:r>
        <w:rPr>
          <w:rFonts w:eastAsia="仿宋_GB2312"/>
          <w:kern w:val="0"/>
          <w:sz w:val="24"/>
          <w:szCs w:val="32"/>
        </w:rPr>
        <w:t>5.质量控制</w:t>
      </w:r>
    </w:p>
    <w:p>
      <w:pPr>
        <w:spacing w:line="420" w:lineRule="exact"/>
        <w:ind w:firstLine="480" w:firstLineChars="200"/>
        <w:rPr>
          <w:rFonts w:eastAsia="仿宋_GB2312"/>
          <w:kern w:val="0"/>
          <w:sz w:val="24"/>
          <w:szCs w:val="32"/>
        </w:rPr>
      </w:pPr>
      <w:r>
        <w:rPr>
          <w:rFonts w:eastAsia="仿宋_GB2312"/>
          <w:kern w:val="0"/>
          <w:sz w:val="24"/>
          <w:szCs w:val="32"/>
        </w:rPr>
        <w:t>临床试验开始前，应进行临床试验的预试验，以熟悉并掌握相关试验方法的操作、仪器、技术性能等，最大限度控制试验误差。整个试验过程都应处于有效的质量控制下，最大限度保证试验数据的准确性及可重复性。</w:t>
      </w:r>
    </w:p>
    <w:p>
      <w:pPr>
        <w:spacing w:line="420" w:lineRule="exact"/>
        <w:ind w:firstLine="480" w:firstLineChars="200"/>
        <w:rPr>
          <w:rFonts w:eastAsia="仿宋_GB2312"/>
          <w:kern w:val="0"/>
          <w:sz w:val="24"/>
          <w:szCs w:val="32"/>
        </w:rPr>
      </w:pPr>
      <w:r>
        <w:rPr>
          <w:rFonts w:eastAsia="仿宋_GB2312"/>
          <w:kern w:val="0"/>
          <w:sz w:val="24"/>
          <w:szCs w:val="32"/>
        </w:rPr>
        <w:t>6.临床试验总结报告撰写</w:t>
      </w:r>
    </w:p>
    <w:p>
      <w:pPr>
        <w:spacing w:line="420" w:lineRule="exact"/>
        <w:ind w:firstLine="480" w:firstLineChars="200"/>
        <w:rPr>
          <w:rFonts w:eastAsia="仿宋_GB2312"/>
          <w:kern w:val="0"/>
          <w:sz w:val="24"/>
          <w:szCs w:val="32"/>
        </w:rPr>
      </w:pPr>
      <w:r>
        <w:rPr>
          <w:rFonts w:eastAsia="仿宋_GB2312"/>
          <w:kern w:val="0"/>
          <w:sz w:val="24"/>
          <w:szCs w:val="32"/>
        </w:rPr>
        <w:t>根据《体外诊断试剂临床试验技术指导原则》的要求，临床试验报告应该对试验的整体设计及各个关键点给予清晰、完整的阐述，应该对整个临床试验实施过程、结果分析、结论等进行条理分明的描述，并应包括必要的基础数据和统计分析方法。建议在临床总结报告中对以下内容进行详述。</w:t>
      </w:r>
    </w:p>
    <w:p>
      <w:pPr>
        <w:spacing w:line="420" w:lineRule="exact"/>
        <w:ind w:firstLine="480" w:firstLineChars="200"/>
        <w:rPr>
          <w:rFonts w:eastAsia="仿宋_GB2312"/>
          <w:kern w:val="0"/>
          <w:sz w:val="24"/>
          <w:szCs w:val="32"/>
        </w:rPr>
      </w:pPr>
      <w:r>
        <w:rPr>
          <w:rFonts w:eastAsia="仿宋_GB2312"/>
          <w:kern w:val="0"/>
          <w:sz w:val="24"/>
          <w:szCs w:val="32"/>
        </w:rPr>
        <w:t>6.1临床试验总体设计及方案描述</w:t>
      </w:r>
    </w:p>
    <w:p>
      <w:pPr>
        <w:spacing w:line="420" w:lineRule="exact"/>
        <w:ind w:firstLine="480" w:firstLineChars="200"/>
        <w:rPr>
          <w:rFonts w:eastAsia="仿宋_GB2312"/>
          <w:kern w:val="0"/>
          <w:sz w:val="24"/>
          <w:szCs w:val="32"/>
        </w:rPr>
      </w:pPr>
      <w:r>
        <w:rPr>
          <w:rFonts w:eastAsia="仿宋_GB2312"/>
          <w:kern w:val="0"/>
          <w:sz w:val="24"/>
          <w:szCs w:val="32"/>
        </w:rPr>
        <w:t>6.1.1 临床试验的整体管理情况、临床研究单位选择、临床主要研究人员简介等基本情况介绍。</w:t>
      </w:r>
    </w:p>
    <w:p>
      <w:pPr>
        <w:spacing w:line="420" w:lineRule="exact"/>
        <w:ind w:firstLine="480" w:firstLineChars="200"/>
        <w:rPr>
          <w:rFonts w:eastAsia="仿宋_GB2312"/>
          <w:kern w:val="0"/>
          <w:sz w:val="24"/>
          <w:szCs w:val="32"/>
        </w:rPr>
      </w:pPr>
      <w:r>
        <w:rPr>
          <w:rFonts w:eastAsia="仿宋_GB2312"/>
          <w:kern w:val="0"/>
          <w:sz w:val="24"/>
          <w:szCs w:val="32"/>
        </w:rPr>
        <w:t>6.1.2 病例纳入/排除标准、不同年龄段人群的预期选择例数及标准、样本编盲和揭盲的操作流程等。</w:t>
      </w:r>
    </w:p>
    <w:p>
      <w:pPr>
        <w:spacing w:line="420" w:lineRule="exact"/>
        <w:ind w:firstLine="480" w:firstLineChars="200"/>
        <w:rPr>
          <w:rFonts w:eastAsia="仿宋_GB2312"/>
          <w:kern w:val="0"/>
          <w:sz w:val="24"/>
          <w:szCs w:val="32"/>
        </w:rPr>
      </w:pPr>
      <w:r>
        <w:rPr>
          <w:rFonts w:eastAsia="仿宋_GB2312"/>
          <w:kern w:val="0"/>
          <w:sz w:val="24"/>
          <w:szCs w:val="32"/>
        </w:rPr>
        <w:t>6.1.3 样本类型，样本的收集、处理及保存等。</w:t>
      </w:r>
    </w:p>
    <w:p>
      <w:pPr>
        <w:spacing w:line="420" w:lineRule="exact"/>
        <w:ind w:firstLine="480" w:firstLineChars="200"/>
        <w:rPr>
          <w:rFonts w:eastAsia="仿宋_GB2312"/>
          <w:kern w:val="0"/>
          <w:sz w:val="24"/>
          <w:szCs w:val="32"/>
        </w:rPr>
      </w:pPr>
      <w:r>
        <w:rPr>
          <w:rFonts w:eastAsia="仿宋_GB2312"/>
          <w:kern w:val="0"/>
          <w:sz w:val="24"/>
          <w:szCs w:val="32"/>
        </w:rPr>
        <w:t>6.1.4 统计学方法、统计软件、评价统计结果的标准。</w:t>
      </w:r>
    </w:p>
    <w:p>
      <w:pPr>
        <w:spacing w:line="420" w:lineRule="exact"/>
        <w:ind w:firstLine="480" w:firstLineChars="200"/>
        <w:rPr>
          <w:rFonts w:eastAsia="仿宋_GB2312"/>
          <w:kern w:val="0"/>
          <w:sz w:val="24"/>
          <w:szCs w:val="32"/>
        </w:rPr>
      </w:pPr>
      <w:r>
        <w:rPr>
          <w:rFonts w:eastAsia="仿宋_GB2312"/>
          <w:kern w:val="0"/>
          <w:sz w:val="24"/>
          <w:szCs w:val="32"/>
        </w:rPr>
        <w:t>6.2 具体的临床试验情况</w:t>
      </w:r>
    </w:p>
    <w:p>
      <w:pPr>
        <w:spacing w:line="420" w:lineRule="exact"/>
        <w:ind w:firstLine="480" w:firstLineChars="200"/>
        <w:rPr>
          <w:rFonts w:eastAsia="仿宋_GB2312"/>
          <w:kern w:val="0"/>
          <w:sz w:val="24"/>
          <w:szCs w:val="32"/>
        </w:rPr>
      </w:pPr>
      <w:r>
        <w:rPr>
          <w:rFonts w:eastAsia="仿宋_GB2312"/>
          <w:kern w:val="0"/>
          <w:sz w:val="24"/>
          <w:szCs w:val="32"/>
        </w:rPr>
        <w:t>6.2.1 临床试验所用体外诊断试剂及仪器的名称、批号、机型等信息。</w:t>
      </w:r>
    </w:p>
    <w:p>
      <w:pPr>
        <w:spacing w:line="420" w:lineRule="exact"/>
        <w:ind w:firstLine="480" w:firstLineChars="200"/>
        <w:rPr>
          <w:rFonts w:eastAsia="仿宋_GB2312"/>
          <w:kern w:val="0"/>
          <w:sz w:val="24"/>
          <w:szCs w:val="32"/>
        </w:rPr>
      </w:pPr>
      <w:r>
        <w:rPr>
          <w:rFonts w:eastAsia="仿宋_GB2312"/>
          <w:kern w:val="0"/>
          <w:sz w:val="24"/>
          <w:szCs w:val="32"/>
        </w:rPr>
        <w:t>6.2.2 对各研究单位的病例数、年龄分布情况、不同基因型分布情况进行综合，建议以列表或图示方式列出各年龄组和各种基因型别的样本例数。</w:t>
      </w:r>
    </w:p>
    <w:p>
      <w:pPr>
        <w:spacing w:line="420" w:lineRule="exact"/>
        <w:ind w:firstLine="480" w:firstLineChars="200"/>
        <w:rPr>
          <w:rFonts w:eastAsia="仿宋_GB2312"/>
          <w:kern w:val="0"/>
          <w:sz w:val="24"/>
          <w:szCs w:val="32"/>
        </w:rPr>
      </w:pPr>
      <w:r>
        <w:rPr>
          <w:rFonts w:eastAsia="仿宋_GB2312"/>
          <w:kern w:val="0"/>
          <w:sz w:val="24"/>
          <w:szCs w:val="32"/>
        </w:rPr>
        <w:t>6.2.3 质量控制，试验人员培训、仪器日常维护、仪器校准、质控品运行情况。</w:t>
      </w:r>
    </w:p>
    <w:p>
      <w:pPr>
        <w:spacing w:line="420" w:lineRule="exact"/>
        <w:ind w:firstLine="480" w:firstLineChars="200"/>
        <w:rPr>
          <w:rFonts w:eastAsia="仿宋_GB2312"/>
          <w:kern w:val="0"/>
          <w:sz w:val="24"/>
          <w:szCs w:val="32"/>
        </w:rPr>
      </w:pPr>
      <w:r>
        <w:rPr>
          <w:rFonts w:eastAsia="仿宋_GB2312"/>
          <w:kern w:val="0"/>
          <w:sz w:val="24"/>
          <w:szCs w:val="32"/>
        </w:rPr>
        <w:t>6.2.4 具体试验过程，样本检测、样本长期保存、受试者宫颈细胞学检查、阴道镜检查和组织病理学检查、数据收集、结果不一致样本的校验等；受试者随访的操作方法及病例脱落情况，及是否符合临床试验方案。</w:t>
      </w:r>
    </w:p>
    <w:p>
      <w:pPr>
        <w:spacing w:line="420" w:lineRule="exact"/>
        <w:ind w:firstLine="480" w:firstLineChars="200"/>
        <w:rPr>
          <w:rFonts w:eastAsia="仿宋_GB2312"/>
          <w:kern w:val="0"/>
          <w:sz w:val="24"/>
          <w:szCs w:val="32"/>
        </w:rPr>
      </w:pPr>
      <w:r>
        <w:rPr>
          <w:rFonts w:eastAsia="仿宋_GB2312"/>
          <w:kern w:val="0"/>
          <w:sz w:val="24"/>
          <w:szCs w:val="32"/>
        </w:rPr>
        <w:t>6.3统计学分析</w:t>
      </w:r>
    </w:p>
    <w:p>
      <w:pPr>
        <w:spacing w:line="420" w:lineRule="exact"/>
        <w:ind w:firstLine="480" w:firstLineChars="200"/>
        <w:rPr>
          <w:rFonts w:eastAsia="仿宋_GB2312"/>
          <w:kern w:val="0"/>
          <w:sz w:val="24"/>
          <w:szCs w:val="32"/>
        </w:rPr>
      </w:pPr>
      <w:r>
        <w:rPr>
          <w:rFonts w:eastAsia="仿宋_GB2312"/>
          <w:kern w:val="0"/>
          <w:sz w:val="24"/>
          <w:szCs w:val="32"/>
        </w:rPr>
        <w:t>数据处理、差异数据的重新检测或其他合理方法验证以及是否纳入最终数据统计、对异常值或缺失值的处理、随访中病例脱落比例、研究过程中是否涉及对方案的修改。数据统计分析结果。</w:t>
      </w:r>
    </w:p>
    <w:p>
      <w:pPr>
        <w:spacing w:line="420" w:lineRule="exact"/>
        <w:ind w:firstLine="480" w:firstLineChars="200"/>
        <w:rPr>
          <w:rFonts w:eastAsia="仿宋_GB2312"/>
          <w:kern w:val="0"/>
          <w:sz w:val="24"/>
          <w:szCs w:val="32"/>
        </w:rPr>
      </w:pPr>
      <w:r>
        <w:rPr>
          <w:rFonts w:eastAsia="仿宋_GB2312"/>
          <w:kern w:val="0"/>
          <w:sz w:val="24"/>
          <w:szCs w:val="32"/>
        </w:rPr>
        <w:t>6.4 讨论和结论</w:t>
      </w:r>
    </w:p>
    <w:p>
      <w:pPr>
        <w:spacing w:line="420" w:lineRule="exact"/>
        <w:ind w:firstLine="480" w:firstLineChars="200"/>
        <w:rPr>
          <w:rFonts w:eastAsia="仿宋_GB2312"/>
          <w:kern w:val="0"/>
          <w:sz w:val="24"/>
          <w:szCs w:val="32"/>
        </w:rPr>
      </w:pPr>
      <w:r>
        <w:rPr>
          <w:rFonts w:eastAsia="仿宋_GB2312"/>
          <w:kern w:val="0"/>
          <w:sz w:val="24"/>
          <w:szCs w:val="32"/>
        </w:rPr>
        <w:t>对总体结果进行总结性描述并简要分析试验结果，对本次临床研究有无特别说明，最后得出临床试验结论。</w:t>
      </w:r>
    </w:p>
    <w:p>
      <w:pPr>
        <w:spacing w:line="420" w:lineRule="exact"/>
        <w:ind w:firstLine="480" w:firstLineChars="200"/>
        <w:contextualSpacing/>
        <w:rPr>
          <w:rFonts w:ascii="楷体_GB2312" w:eastAsia="楷体_GB2312"/>
          <w:kern w:val="0"/>
          <w:sz w:val="24"/>
          <w:szCs w:val="32"/>
        </w:rPr>
      </w:pPr>
      <w:r>
        <w:rPr>
          <w:rFonts w:hint="eastAsia" w:ascii="楷体_GB2312" w:eastAsia="楷体_GB2312"/>
          <w:kern w:val="0"/>
          <w:sz w:val="24"/>
          <w:szCs w:val="32"/>
        </w:rPr>
        <w:t>（八）产品技术要求</w:t>
      </w:r>
    </w:p>
    <w:p>
      <w:pPr>
        <w:spacing w:line="420" w:lineRule="exact"/>
        <w:ind w:firstLine="480" w:firstLineChars="200"/>
        <w:contextualSpacing/>
        <w:rPr>
          <w:rFonts w:eastAsia="仿宋_GB2312"/>
          <w:kern w:val="0"/>
          <w:sz w:val="24"/>
          <w:szCs w:val="32"/>
        </w:rPr>
      </w:pPr>
      <w:r>
        <w:rPr>
          <w:rFonts w:eastAsia="仿宋_GB2312"/>
          <w:kern w:val="0"/>
          <w:sz w:val="24"/>
          <w:szCs w:val="32"/>
        </w:rPr>
        <w:t>申请人应当在原材料质量和生产工艺稳定的前提下，根据申请人产品研制、前期临床评价等结果，依据国家标准、行业标准及有关文献，按照《医疗器械产品技术要求编写指导原则》（国家食品药品监督管理总局通告2014年第9号）的有关要求，编写产品技术要求。</w:t>
      </w:r>
    </w:p>
    <w:p>
      <w:pPr>
        <w:spacing w:line="420" w:lineRule="exact"/>
        <w:ind w:firstLine="480" w:firstLineChars="200"/>
        <w:contextualSpacing/>
        <w:rPr>
          <w:rFonts w:eastAsia="仿宋_GB2312"/>
          <w:kern w:val="0"/>
          <w:sz w:val="24"/>
          <w:szCs w:val="32"/>
        </w:rPr>
      </w:pPr>
      <w:r>
        <w:rPr>
          <w:rFonts w:eastAsia="仿宋_GB2312"/>
          <w:kern w:val="0"/>
          <w:sz w:val="24"/>
          <w:szCs w:val="32"/>
        </w:rPr>
        <w:t>HPV核酸检测及基因分型试剂的产品性能指标应主要包括：物理性状、试剂盒内阴/阳性对照品（质控品）的符合性、阴/阳性参考品符合率、精密度、最低检测限等。阳性参考品主要考察对试剂盒适用范围内不同基因型HPV的检测能力，阴性参考品则重点对申报试剂的分析特异性进行验证。</w:t>
      </w:r>
    </w:p>
    <w:p>
      <w:pPr>
        <w:spacing w:line="420" w:lineRule="exact"/>
        <w:ind w:firstLine="480" w:firstLineChars="200"/>
        <w:contextualSpacing/>
        <w:rPr>
          <w:rFonts w:eastAsia="仿宋_GB2312"/>
          <w:kern w:val="0"/>
          <w:sz w:val="24"/>
          <w:szCs w:val="32"/>
        </w:rPr>
      </w:pPr>
      <w:r>
        <w:rPr>
          <w:rFonts w:eastAsia="仿宋_GB2312"/>
          <w:kern w:val="0"/>
          <w:sz w:val="24"/>
          <w:szCs w:val="32"/>
        </w:rPr>
        <w:t>如果申报试剂已有适用的国家标准品、参考品发布，则申请人应在产品技术要求中提出检测要求。</w:t>
      </w:r>
    </w:p>
    <w:p>
      <w:pPr>
        <w:spacing w:line="420" w:lineRule="exact"/>
        <w:ind w:firstLine="480" w:firstLineChars="200"/>
        <w:contextualSpacing/>
        <w:rPr>
          <w:rFonts w:eastAsia="仿宋_GB2312"/>
          <w:kern w:val="0"/>
          <w:sz w:val="24"/>
          <w:szCs w:val="32"/>
        </w:rPr>
      </w:pPr>
      <w:r>
        <w:rPr>
          <w:rFonts w:eastAsia="仿宋_GB2312"/>
          <w:kern w:val="0"/>
          <w:sz w:val="24"/>
          <w:szCs w:val="32"/>
        </w:rPr>
        <w:t>按照《办法》的规定，此类产品为第三类体外诊断试剂，申请人应按照《医疗器械产品技术要求编写指导原则》的要求，以附录形式明确主要原材料、生产工艺及半成品要求，附录的编制应符合相关编写规范的要求。</w:t>
      </w:r>
    </w:p>
    <w:p>
      <w:pPr>
        <w:spacing w:line="420" w:lineRule="exact"/>
        <w:ind w:firstLine="480" w:firstLineChars="200"/>
        <w:contextualSpacing/>
        <w:rPr>
          <w:rFonts w:ascii="楷体_GB2312" w:hAnsi="??" w:eastAsia="楷体_GB2312" w:cs="宋体"/>
          <w:kern w:val="0"/>
          <w:sz w:val="24"/>
          <w:szCs w:val="32"/>
        </w:rPr>
      </w:pPr>
      <w:r>
        <w:rPr>
          <w:rFonts w:hint="eastAsia" w:ascii="楷体_GB2312" w:hAnsi="??" w:eastAsia="楷体_GB2312" w:cs="宋体"/>
          <w:kern w:val="0"/>
          <w:sz w:val="24"/>
          <w:szCs w:val="32"/>
        </w:rPr>
        <w:t>（九）注册检验</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根据《办法》的要求，首次申请注册的第三类产品应在具有相应医疗器械检验资质和承检范围的医疗器械检验机构进行连续</w:t>
      </w:r>
      <w:r>
        <w:rPr>
          <w:rFonts w:eastAsia="仿宋_GB2312"/>
          <w:kern w:val="0"/>
          <w:sz w:val="24"/>
          <w:szCs w:val="32"/>
        </w:rPr>
        <w:t>3</w:t>
      </w:r>
      <w:r>
        <w:rPr>
          <w:rFonts w:hint="eastAsia" w:eastAsia="仿宋_GB2312"/>
          <w:kern w:val="0"/>
          <w:sz w:val="24"/>
          <w:szCs w:val="32"/>
        </w:rPr>
        <w:t>个生产批次样品的注册检验。对于已经有国家标准品、参考品的检测项目，在注册检验时应采用相应的国家标准品、参考品进行注册检验</w:t>
      </w:r>
      <w:r>
        <w:rPr>
          <w:rFonts w:eastAsia="仿宋_GB2312"/>
          <w:kern w:val="0"/>
          <w:sz w:val="24"/>
          <w:szCs w:val="32"/>
        </w:rPr>
        <w:t>,</w:t>
      </w:r>
      <w:r>
        <w:rPr>
          <w:rFonts w:hint="eastAsia" w:eastAsia="仿宋_GB2312"/>
          <w:kern w:val="0"/>
          <w:sz w:val="24"/>
          <w:szCs w:val="32"/>
        </w:rPr>
        <w:t>对于目前尚无国家标准品的、参考品的项目，生产企业应建立自己的参考品体系并提供相应的企业参考品。</w:t>
      </w:r>
    </w:p>
    <w:p>
      <w:pPr>
        <w:spacing w:line="420" w:lineRule="exact"/>
        <w:ind w:firstLine="480" w:firstLineChars="200"/>
        <w:contextualSpacing/>
        <w:rPr>
          <w:rFonts w:ascii="楷体_GB2312" w:hAnsi="??" w:eastAsia="楷体_GB2312" w:cs="宋体"/>
          <w:kern w:val="0"/>
          <w:sz w:val="24"/>
          <w:szCs w:val="32"/>
        </w:rPr>
      </w:pPr>
      <w:r>
        <w:rPr>
          <w:rFonts w:hint="eastAsia" w:ascii="楷体_GB2312" w:hAnsi="??" w:eastAsia="楷体_GB2312" w:cs="宋体"/>
          <w:kern w:val="0"/>
          <w:sz w:val="24"/>
          <w:szCs w:val="32"/>
        </w:rPr>
        <w:t>（十）产品说明书</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说明书承载了产品预期用途、标本采集及处理、检验方法、检验结果解释以及注意事项等重要信息，是指导实验室工作人员正确操作、临床医生针对检验结果给出合理医学解释的重要依据，因此，产品说明书是体外诊断试剂注册申报最重要的文件之一。产品说明书的格式应符合《体外诊断试剂说明书编写指导原则》（国家食品药品监督管理总局通告2014年第17号）的要求，进口体外诊断试剂的中文说明书除格式要求外，其内容应尽量保持与原文说明书的一致性，翻译力求准确且符合中文表达习惯。产品说明书中相关技术内容均应与申请人提交的注册申报资料中的相关研究结果保持一致，如某些内容引用自参考文献，则应以规范格式对此内容进行标注，并单独列明文献的相关信息。</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结合《体外诊断试剂说明书编写指导原则》的要求，下面对HPV核酸检测及基因分型试剂说明书的重点内容进行详细说明，以指导注册申报人员更合理地完成说明书编制。</w:t>
      </w:r>
    </w:p>
    <w:p>
      <w:pPr>
        <w:spacing w:line="420" w:lineRule="exact"/>
        <w:ind w:firstLine="480" w:firstLineChars="200"/>
        <w:contextualSpacing/>
        <w:rPr>
          <w:rFonts w:eastAsia="仿宋_GB2312"/>
          <w:kern w:val="0"/>
          <w:sz w:val="24"/>
          <w:szCs w:val="32"/>
        </w:rPr>
      </w:pPr>
      <w:r>
        <w:rPr>
          <w:rFonts w:eastAsia="仿宋_GB2312"/>
          <w:kern w:val="0"/>
          <w:sz w:val="24"/>
          <w:szCs w:val="32"/>
        </w:rPr>
        <w:t>1.【预期用途】</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HPV核酸检测及基因分型试剂的临床意义主要在于对妇女罹患宫颈疾病的风险程度提供信息，以便于临床医生结合病人的其他检查结果进行更加准确的疾病判断和科学的患者管理。</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申请人应根据相关临床研究结果确定产品的预期用途。一般的，此类产品预期用途描述包含以下几方面：</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该产品用于体外定性检测女性宫颈样本（如宫颈脱落上皮细胞或分泌物等）中高危型人乳头瘤病毒（HPV）（列出具体能够检测的基因型）核酸（明确检测靶物质，如DNA、RNA）。明确该产品是否能够鉴别HPV基因型。</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（2）该类产品主要用于：</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①筛查宫颈细胞学检查为</w:t>
      </w:r>
      <w:r>
        <w:rPr>
          <w:rFonts w:eastAsia="仿宋_GB2312"/>
          <w:kern w:val="0"/>
          <w:sz w:val="24"/>
          <w:szCs w:val="32"/>
        </w:rPr>
        <w:t>ASC-US（意义未确定的非典型鳞状上皮细胞）</w:t>
      </w:r>
      <w:r>
        <w:rPr>
          <w:rFonts w:hint="eastAsia" w:eastAsia="仿宋_GB2312"/>
          <w:kern w:val="0"/>
          <w:sz w:val="24"/>
          <w:szCs w:val="32"/>
        </w:rPr>
        <w:t>结果的患者，以</w:t>
      </w:r>
      <w:r>
        <w:rPr>
          <w:rFonts w:eastAsia="仿宋_GB2312"/>
          <w:kern w:val="0"/>
          <w:sz w:val="24"/>
          <w:szCs w:val="32"/>
        </w:rPr>
        <w:t>确定</w:t>
      </w:r>
      <w:r>
        <w:rPr>
          <w:rFonts w:hint="eastAsia" w:eastAsia="仿宋_GB2312"/>
          <w:kern w:val="0"/>
          <w:sz w:val="24"/>
          <w:szCs w:val="32"/>
        </w:rPr>
        <w:t>是否需要进行</w:t>
      </w:r>
      <w:r>
        <w:rPr>
          <w:rFonts w:eastAsia="仿宋_GB2312"/>
          <w:kern w:val="0"/>
          <w:sz w:val="24"/>
          <w:szCs w:val="32"/>
        </w:rPr>
        <w:t>阴道镜检查</w:t>
      </w:r>
      <w:r>
        <w:rPr>
          <w:rFonts w:hint="eastAsia" w:eastAsia="仿宋_GB2312"/>
          <w:kern w:val="0"/>
          <w:sz w:val="24"/>
          <w:szCs w:val="32"/>
        </w:rPr>
        <w:t>（以下简称ASC-US人群分流用途）；</w:t>
      </w:r>
      <w:r>
        <w:rPr>
          <w:rFonts w:eastAsia="仿宋_GB2312"/>
          <w:kern w:val="0"/>
          <w:sz w:val="24"/>
          <w:szCs w:val="32"/>
        </w:rPr>
        <w:t xml:space="preserve"> </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②</w:t>
      </w:r>
      <w:r>
        <w:rPr>
          <w:rFonts w:eastAsia="仿宋_GB2312"/>
          <w:kern w:val="0"/>
          <w:sz w:val="24"/>
          <w:szCs w:val="32"/>
        </w:rPr>
        <w:t>对于30岁及以上的女性，</w:t>
      </w:r>
      <w:r>
        <w:rPr>
          <w:rFonts w:hint="eastAsia" w:eastAsia="仿宋_GB2312"/>
          <w:kern w:val="0"/>
          <w:sz w:val="24"/>
          <w:szCs w:val="32"/>
        </w:rPr>
        <w:t>通过检测</w:t>
      </w:r>
      <w:r>
        <w:rPr>
          <w:rFonts w:eastAsia="仿宋_GB2312"/>
          <w:kern w:val="0"/>
          <w:sz w:val="24"/>
          <w:szCs w:val="32"/>
        </w:rPr>
        <w:t>是否有高危</w:t>
      </w:r>
      <w:r>
        <w:rPr>
          <w:rFonts w:hint="eastAsia" w:eastAsia="仿宋_GB2312"/>
          <w:kern w:val="0"/>
          <w:sz w:val="24"/>
          <w:szCs w:val="32"/>
        </w:rPr>
        <w:t>型</w:t>
      </w:r>
      <w:r>
        <w:rPr>
          <w:rFonts w:eastAsia="仿宋_GB2312"/>
          <w:kern w:val="0"/>
          <w:sz w:val="24"/>
          <w:szCs w:val="32"/>
        </w:rPr>
        <w:t>HPV</w:t>
      </w:r>
      <w:r>
        <w:rPr>
          <w:rFonts w:hint="eastAsia" w:eastAsia="仿宋_GB2312"/>
          <w:kern w:val="0"/>
          <w:sz w:val="24"/>
          <w:szCs w:val="32"/>
        </w:rPr>
        <w:t>感染，与宫颈细胞学检查联合进行宫颈癌筛查，此检测结合</w:t>
      </w:r>
      <w:r>
        <w:rPr>
          <w:rFonts w:eastAsia="仿宋_GB2312"/>
          <w:kern w:val="0"/>
          <w:sz w:val="24"/>
          <w:szCs w:val="32"/>
        </w:rPr>
        <w:t>细胞学病史</w:t>
      </w:r>
      <w:r>
        <w:rPr>
          <w:rFonts w:hint="eastAsia" w:eastAsia="仿宋_GB2312"/>
          <w:kern w:val="0"/>
          <w:sz w:val="24"/>
          <w:szCs w:val="32"/>
        </w:rPr>
        <w:t>和</w:t>
      </w:r>
      <w:r>
        <w:rPr>
          <w:rFonts w:eastAsia="仿宋_GB2312"/>
          <w:kern w:val="0"/>
          <w:sz w:val="24"/>
          <w:szCs w:val="32"/>
        </w:rPr>
        <w:t>其他</w:t>
      </w:r>
      <w:r>
        <w:rPr>
          <w:rFonts w:hint="eastAsia" w:eastAsia="仿宋_GB2312"/>
          <w:kern w:val="0"/>
          <w:sz w:val="24"/>
          <w:szCs w:val="32"/>
        </w:rPr>
        <w:t>风险因素的评估、</w:t>
      </w:r>
      <w:r>
        <w:rPr>
          <w:rFonts w:eastAsia="仿宋_GB2312"/>
          <w:kern w:val="0"/>
          <w:sz w:val="24"/>
          <w:szCs w:val="32"/>
        </w:rPr>
        <w:t>以及</w:t>
      </w:r>
      <w:r>
        <w:rPr>
          <w:rFonts w:hint="eastAsia" w:eastAsia="仿宋_GB2312"/>
          <w:kern w:val="0"/>
          <w:sz w:val="24"/>
          <w:szCs w:val="32"/>
        </w:rPr>
        <w:t>临床诊疗和筛查指南的要求，</w:t>
      </w:r>
      <w:r>
        <w:rPr>
          <w:rFonts w:eastAsia="仿宋_GB2312"/>
          <w:kern w:val="0"/>
          <w:sz w:val="24"/>
          <w:szCs w:val="32"/>
        </w:rPr>
        <w:t>用于指导患者的</w:t>
      </w:r>
      <w:r>
        <w:rPr>
          <w:rFonts w:hint="eastAsia" w:eastAsia="仿宋_GB2312"/>
          <w:kern w:val="0"/>
          <w:sz w:val="24"/>
          <w:szCs w:val="32"/>
        </w:rPr>
        <w:t>管理；</w:t>
      </w:r>
      <w:r>
        <w:rPr>
          <w:rFonts w:eastAsia="仿宋_GB2312"/>
          <w:kern w:val="0"/>
          <w:sz w:val="24"/>
          <w:szCs w:val="32"/>
        </w:rPr>
        <w:t xml:space="preserve"> </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③</w:t>
      </w:r>
      <w:r>
        <w:rPr>
          <w:rFonts w:eastAsia="仿宋_GB2312"/>
          <w:kern w:val="0"/>
          <w:sz w:val="24"/>
          <w:szCs w:val="32"/>
        </w:rPr>
        <w:t>对于</w:t>
      </w:r>
      <w:r>
        <w:rPr>
          <w:rFonts w:hint="eastAsia" w:eastAsia="仿宋_GB2312"/>
          <w:kern w:val="0"/>
          <w:sz w:val="24"/>
          <w:szCs w:val="32"/>
        </w:rPr>
        <w:t>某年龄段（根据临床试验结果而定）</w:t>
      </w:r>
      <w:r>
        <w:rPr>
          <w:rFonts w:eastAsia="仿宋_GB2312"/>
          <w:kern w:val="0"/>
          <w:sz w:val="24"/>
          <w:szCs w:val="32"/>
        </w:rPr>
        <w:t>女性，</w:t>
      </w:r>
      <w:r>
        <w:rPr>
          <w:rFonts w:hint="eastAsia" w:eastAsia="仿宋_GB2312"/>
          <w:kern w:val="0"/>
          <w:sz w:val="24"/>
          <w:szCs w:val="32"/>
        </w:rPr>
        <w:t>通过检测</w:t>
      </w:r>
      <w:r>
        <w:rPr>
          <w:rFonts w:eastAsia="仿宋_GB2312"/>
          <w:kern w:val="0"/>
          <w:sz w:val="24"/>
          <w:szCs w:val="32"/>
        </w:rPr>
        <w:t>是否有高危</w:t>
      </w:r>
      <w:r>
        <w:rPr>
          <w:rFonts w:hint="eastAsia" w:eastAsia="仿宋_GB2312"/>
          <w:kern w:val="0"/>
          <w:sz w:val="24"/>
          <w:szCs w:val="32"/>
        </w:rPr>
        <w:t>型</w:t>
      </w:r>
      <w:r>
        <w:rPr>
          <w:rFonts w:eastAsia="仿宋_GB2312"/>
          <w:kern w:val="0"/>
          <w:sz w:val="24"/>
          <w:szCs w:val="32"/>
        </w:rPr>
        <w:t>HPV</w:t>
      </w:r>
      <w:r>
        <w:rPr>
          <w:rFonts w:hint="eastAsia" w:eastAsia="仿宋_GB2312"/>
          <w:kern w:val="0"/>
          <w:sz w:val="24"/>
          <w:szCs w:val="32"/>
        </w:rPr>
        <w:t>感染，进行宫颈癌筛查，此检测结合</w:t>
      </w:r>
      <w:r>
        <w:rPr>
          <w:rFonts w:eastAsia="仿宋_GB2312"/>
          <w:kern w:val="0"/>
          <w:sz w:val="24"/>
          <w:szCs w:val="32"/>
        </w:rPr>
        <w:t>细胞学病史</w:t>
      </w:r>
      <w:r>
        <w:rPr>
          <w:rFonts w:hint="eastAsia" w:eastAsia="仿宋_GB2312"/>
          <w:kern w:val="0"/>
          <w:sz w:val="24"/>
          <w:szCs w:val="32"/>
        </w:rPr>
        <w:t>和</w:t>
      </w:r>
      <w:r>
        <w:rPr>
          <w:rFonts w:eastAsia="仿宋_GB2312"/>
          <w:kern w:val="0"/>
          <w:sz w:val="24"/>
          <w:szCs w:val="32"/>
        </w:rPr>
        <w:t>其他</w:t>
      </w:r>
      <w:r>
        <w:rPr>
          <w:rFonts w:hint="eastAsia" w:eastAsia="仿宋_GB2312"/>
          <w:kern w:val="0"/>
          <w:sz w:val="24"/>
          <w:szCs w:val="32"/>
        </w:rPr>
        <w:t>风险因素的评估、</w:t>
      </w:r>
      <w:r>
        <w:rPr>
          <w:rFonts w:eastAsia="仿宋_GB2312"/>
          <w:kern w:val="0"/>
          <w:sz w:val="24"/>
          <w:szCs w:val="32"/>
        </w:rPr>
        <w:t>以及</w:t>
      </w:r>
      <w:r>
        <w:rPr>
          <w:rFonts w:hint="eastAsia" w:eastAsia="仿宋_GB2312"/>
          <w:kern w:val="0"/>
          <w:sz w:val="24"/>
          <w:szCs w:val="32"/>
        </w:rPr>
        <w:t>临床诊疗和筛查指南的要求，</w:t>
      </w:r>
      <w:r>
        <w:rPr>
          <w:rFonts w:eastAsia="仿宋_GB2312"/>
          <w:kern w:val="0"/>
          <w:sz w:val="24"/>
          <w:szCs w:val="32"/>
        </w:rPr>
        <w:t>用于指导患者的</w:t>
      </w:r>
      <w:r>
        <w:rPr>
          <w:rFonts w:hint="eastAsia" w:eastAsia="仿宋_GB2312"/>
          <w:kern w:val="0"/>
          <w:sz w:val="24"/>
          <w:szCs w:val="32"/>
        </w:rPr>
        <w:t>管理</w:t>
      </w:r>
      <w:r>
        <w:rPr>
          <w:rFonts w:eastAsia="仿宋_GB2312"/>
          <w:kern w:val="0"/>
          <w:sz w:val="24"/>
          <w:szCs w:val="32"/>
        </w:rPr>
        <w:t>。</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未做相关临床试验的产品应在此项下声明：由于未做相关验证，本产品不能用于相关临床预期用途（按照如上项目描述）。</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（3）申请人应在此项下强调：</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①如申报产品不包含上述第（2）③条所述的预期用途，则申请人应声明：此检测不能独立或优先于宫颈细胞学检查应用，不推荐在任何年龄段的人群中单独使用本检测进行宫颈癌筛查；此方法不能代替宫颈细胞学检查。</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②年龄＜</w:t>
      </w:r>
      <w:r>
        <w:rPr>
          <w:rFonts w:eastAsia="仿宋_GB2312"/>
          <w:kern w:val="0"/>
          <w:sz w:val="24"/>
          <w:szCs w:val="32"/>
        </w:rPr>
        <w:t>30</w:t>
      </w:r>
      <w:r>
        <w:rPr>
          <w:rFonts w:hint="eastAsia" w:eastAsia="仿宋_GB2312"/>
          <w:kern w:val="0"/>
          <w:sz w:val="24"/>
          <w:szCs w:val="32"/>
        </w:rPr>
        <w:t>岁的女性中，</w:t>
      </w:r>
      <w:r>
        <w:rPr>
          <w:rFonts w:eastAsia="仿宋_GB2312"/>
          <w:kern w:val="0"/>
          <w:sz w:val="24"/>
          <w:szCs w:val="32"/>
        </w:rPr>
        <w:t>HPV</w:t>
      </w:r>
      <w:r>
        <w:rPr>
          <w:rFonts w:hint="eastAsia" w:eastAsia="仿宋_GB2312"/>
          <w:kern w:val="0"/>
          <w:sz w:val="24"/>
          <w:szCs w:val="32"/>
        </w:rPr>
        <w:t>感染率很高，同时自主清除率也很高，因此对这部分人群，如宫颈细胞学检查正常则不应再采用</w:t>
      </w:r>
      <w:r>
        <w:rPr>
          <w:rFonts w:eastAsia="仿宋_GB2312"/>
          <w:kern w:val="0"/>
          <w:sz w:val="24"/>
          <w:szCs w:val="32"/>
        </w:rPr>
        <w:t>HPV</w:t>
      </w:r>
      <w:r>
        <w:rPr>
          <w:rFonts w:hint="eastAsia" w:eastAsia="仿宋_GB2312"/>
          <w:kern w:val="0"/>
          <w:sz w:val="24"/>
          <w:szCs w:val="32"/>
        </w:rPr>
        <w:t>检测进行联合筛查，建议仅采用宫颈细胞学方法进行筛查，或参照上述第（2）③条所述进行筛查。</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③本试剂检测结果应结合宫颈细胞学检查及其他相关医学检查结果进行综合分析，不得单独作为患者管理的依据。</w:t>
      </w:r>
    </w:p>
    <w:p>
      <w:pPr>
        <w:spacing w:line="420" w:lineRule="exact"/>
        <w:ind w:firstLine="480" w:firstLineChars="200"/>
        <w:contextualSpacing/>
        <w:rPr>
          <w:rFonts w:eastAsia="仿宋_GB2312"/>
          <w:kern w:val="0"/>
          <w:sz w:val="24"/>
          <w:szCs w:val="32"/>
        </w:rPr>
      </w:pPr>
      <w:r>
        <w:rPr>
          <w:rFonts w:eastAsia="仿宋_GB2312"/>
          <w:kern w:val="0"/>
          <w:sz w:val="24"/>
          <w:szCs w:val="32"/>
        </w:rPr>
        <w:fldChar w:fldCharType="begin"/>
      </w:r>
      <w:r>
        <w:rPr>
          <w:rFonts w:eastAsia="仿宋_GB2312"/>
          <w:kern w:val="0"/>
          <w:sz w:val="24"/>
          <w:szCs w:val="32"/>
        </w:rPr>
        <w:instrText xml:space="preserve"> </w:instrText>
      </w:r>
      <w:r>
        <w:rPr>
          <w:rFonts w:hint="eastAsia" w:eastAsia="仿宋_GB2312"/>
          <w:kern w:val="0"/>
          <w:sz w:val="24"/>
          <w:szCs w:val="32"/>
        </w:rPr>
        <w:instrText xml:space="preserve">= 4 \* GB3</w:instrText>
      </w:r>
      <w:r>
        <w:rPr>
          <w:rFonts w:eastAsia="仿宋_GB2312"/>
          <w:kern w:val="0"/>
          <w:sz w:val="24"/>
          <w:szCs w:val="32"/>
        </w:rPr>
        <w:instrText xml:space="preserve"> </w:instrText>
      </w:r>
      <w:r>
        <w:rPr>
          <w:rFonts w:eastAsia="仿宋_GB2312"/>
          <w:kern w:val="0"/>
          <w:sz w:val="24"/>
          <w:szCs w:val="32"/>
        </w:rPr>
        <w:fldChar w:fldCharType="separate"/>
      </w:r>
      <w:r>
        <w:rPr>
          <w:rFonts w:hint="eastAsia" w:eastAsia="仿宋_GB2312"/>
          <w:kern w:val="0"/>
          <w:sz w:val="24"/>
          <w:szCs w:val="32"/>
        </w:rPr>
        <w:t>④</w:t>
      </w:r>
      <w:r>
        <w:rPr>
          <w:rFonts w:eastAsia="仿宋_GB2312"/>
          <w:kern w:val="0"/>
          <w:sz w:val="24"/>
          <w:szCs w:val="32"/>
        </w:rPr>
        <w:fldChar w:fldCharType="end"/>
      </w:r>
      <w:r>
        <w:rPr>
          <w:rFonts w:hint="eastAsia" w:eastAsia="仿宋_GB2312"/>
          <w:kern w:val="0"/>
          <w:sz w:val="24"/>
          <w:szCs w:val="32"/>
        </w:rPr>
        <w:t>HPV核酸检测试剂的应用应符合相关临床诊疗和筛查指南的要求。</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（4）此外申请人还应就以下内容进行简要介绍：</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①临床背景的介绍，包括病原体生物学特征，基因型划分，感染后的临床症状及该检测的临床意义等。着重说明HPV高危型感染与宫颈癌的相关性，描述应客观、科学、全面。</w:t>
      </w:r>
    </w:p>
    <w:p>
      <w:pPr>
        <w:spacing w:line="420" w:lineRule="exact"/>
        <w:ind w:firstLine="480" w:firstLineChars="200"/>
        <w:contextualSpacing/>
        <w:rPr>
          <w:rFonts w:eastAsia="仿宋_GB2312"/>
          <w:b/>
          <w:bCs/>
          <w:kern w:val="0"/>
          <w:sz w:val="24"/>
          <w:szCs w:val="32"/>
        </w:rPr>
      </w:pPr>
      <w:r>
        <w:rPr>
          <w:rFonts w:hint="eastAsia" w:eastAsia="仿宋_GB2312"/>
          <w:kern w:val="0"/>
          <w:sz w:val="24"/>
          <w:szCs w:val="32"/>
        </w:rPr>
        <w:t>②</w:t>
      </w:r>
      <w:r>
        <w:rPr>
          <w:rFonts w:hint="eastAsia" w:eastAsia="仿宋_GB2312"/>
          <w:b/>
          <w:bCs/>
          <w:kern w:val="0"/>
          <w:sz w:val="24"/>
          <w:szCs w:val="32"/>
        </w:rPr>
        <w:t>说明申报产品选择HPV基因型的依据和考虑。原则上建议选择至少包含16、18、31、33、35、39、45、51、52、56、58、59、68基因型在内的多基因型联合检测的设计方式，以保证该产品用于宫颈癌筛查及风险评估的能力，亦可同时包含26、53、66、73、82型中的一个或数个型别。不建议包含其他低危型HPV。</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2.【检验原理】</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详细说明试剂盒技术原理，及核酸分离/纯化方法、原理。说明检测的靶基因座位、序列长度等；介绍引物及探针设计、不同样品反应体系（管）组合、对照品（质控品）设置及荧光信号标记等。如添加了相关的防污染组分（如尿嘧啶DNA糖基化酶，即</w:t>
      </w:r>
      <w:r>
        <w:rPr>
          <w:rFonts w:eastAsia="仿宋_GB2312"/>
          <w:kern w:val="0"/>
          <w:sz w:val="24"/>
          <w:szCs w:val="32"/>
        </w:rPr>
        <w:t>UDG</w:t>
      </w:r>
      <w:r>
        <w:rPr>
          <w:rFonts w:hint="eastAsia" w:eastAsia="仿宋_GB2312"/>
          <w:kern w:val="0"/>
          <w:sz w:val="24"/>
          <w:szCs w:val="32"/>
        </w:rPr>
        <w:t>/UNG等），也应对其作用机理作适当介绍。</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3.【主要组成成份】</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详细说明试剂盒内各组分的名称、数量、成分、浓度等信息，如含有生物源性物质，应说明其生物学来源、活性及其他特性；说明不同批号试剂盒中各组分是否可以互换。</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试剂盒中不包含但对该项检测必须的组分，应列出相关试剂的生产企业、产品名称、货号以及医疗器械注册证号（如有）等详细信息。当试剂盒中不包含用于核酸分离</w:t>
      </w:r>
      <w:r>
        <w:rPr>
          <w:rFonts w:eastAsia="仿宋_GB2312"/>
          <w:kern w:val="0"/>
          <w:sz w:val="24"/>
          <w:szCs w:val="32"/>
        </w:rPr>
        <w:t>/</w:t>
      </w:r>
      <w:r>
        <w:rPr>
          <w:rFonts w:hint="eastAsia" w:eastAsia="仿宋_GB2312"/>
          <w:kern w:val="0"/>
          <w:sz w:val="24"/>
          <w:szCs w:val="32"/>
        </w:rPr>
        <w:t>纯化的试剂组分时，应在此注明经验证后推荐配合使用的商品化核酸分离</w:t>
      </w:r>
      <w:r>
        <w:rPr>
          <w:rFonts w:eastAsia="仿宋_GB2312"/>
          <w:kern w:val="0"/>
          <w:sz w:val="24"/>
          <w:szCs w:val="32"/>
        </w:rPr>
        <w:t>/</w:t>
      </w:r>
      <w:r>
        <w:rPr>
          <w:rFonts w:hint="eastAsia" w:eastAsia="仿宋_GB2312"/>
          <w:kern w:val="0"/>
          <w:sz w:val="24"/>
          <w:szCs w:val="32"/>
        </w:rPr>
        <w:t>纯化试剂盒的如上信息。</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4.【储存条件及有效期】</w:t>
      </w:r>
    </w:p>
    <w:p>
      <w:pPr>
        <w:spacing w:line="420" w:lineRule="exact"/>
        <w:ind w:firstLine="480" w:firstLineChars="200"/>
        <w:rPr>
          <w:rFonts w:eastAsia="仿宋_GB2312"/>
          <w:kern w:val="0"/>
          <w:sz w:val="24"/>
          <w:szCs w:val="32"/>
        </w:rPr>
      </w:pPr>
      <w:r>
        <w:rPr>
          <w:rFonts w:hint="eastAsia" w:eastAsia="仿宋_GB2312"/>
          <w:kern w:val="0"/>
          <w:sz w:val="24"/>
          <w:szCs w:val="32"/>
        </w:rPr>
        <w:t>试剂盒的效期稳定性、开瓶稳定性、复溶稳定性、运输稳定性、冻融次数要求等。应与相应的稳定性研究结论一致。</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5.【适用仪器】</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所有适用的仪器型号，提供与仪器有关的重要信息以指导用户操作。</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6.【样本要求】</w:t>
      </w:r>
      <w:r>
        <w:rPr>
          <w:rFonts w:eastAsia="仿宋_GB2312"/>
          <w:kern w:val="0"/>
          <w:sz w:val="24"/>
          <w:szCs w:val="32"/>
        </w:rPr>
        <w:t> </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明确适用的样本类型。并详细描述样本采集及预处理要求、运输要求、保存条件及期限等。特别是样本采集所需设备及保存液，需特别明确供应商、货号及注册证号（如有）。有关描述均应建立在相关性能评价及稳定性研究的基础上。</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样本的取材及处理方式等若有通用的技术规范或指南，则应遵循，并在此处引用。</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7.【检验方法】</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详细说明实验操作的各个步骤，包括：</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7.1试剂配制方法、注意事项。</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7.2核酸分离/纯化的条件、步骤及注意事项。对照品（质控品）参与样本核酸的平行提取的要求等。</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7.3扩增反应前准备：各组分加样体积、顺序、相关注意事项等。</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7.4逆转录过程（如涉及）的温度和时间设置、</w:t>
      </w:r>
      <w:r>
        <w:rPr>
          <w:rFonts w:eastAsia="仿宋_GB2312"/>
          <w:kern w:val="0"/>
          <w:sz w:val="24"/>
          <w:szCs w:val="32"/>
        </w:rPr>
        <w:t>PCR</w:t>
      </w:r>
      <w:r>
        <w:rPr>
          <w:rFonts w:hint="eastAsia" w:eastAsia="仿宋_GB2312"/>
          <w:kern w:val="0"/>
          <w:sz w:val="24"/>
          <w:szCs w:val="32"/>
        </w:rPr>
        <w:t>各阶段的温度、时间设置、循环数设置及相关注意事项。</w:t>
      </w:r>
    </w:p>
    <w:p>
      <w:pPr>
        <w:spacing w:line="420" w:lineRule="exact"/>
        <w:ind w:firstLine="480" w:firstLineChars="200"/>
        <w:contextualSpacing/>
        <w:rPr>
          <w:rFonts w:eastAsia="仿宋_GB2312"/>
          <w:spacing w:val="-4"/>
          <w:kern w:val="0"/>
          <w:sz w:val="24"/>
          <w:szCs w:val="32"/>
        </w:rPr>
      </w:pPr>
      <w:r>
        <w:rPr>
          <w:rFonts w:hint="eastAsia" w:eastAsia="仿宋_GB2312"/>
          <w:kern w:val="0"/>
          <w:sz w:val="24"/>
          <w:szCs w:val="32"/>
        </w:rPr>
        <w:t>7.5</w:t>
      </w:r>
      <w:r>
        <w:rPr>
          <w:rFonts w:hint="eastAsia" w:eastAsia="仿宋_GB2312"/>
          <w:spacing w:val="-4"/>
          <w:kern w:val="0"/>
          <w:sz w:val="24"/>
          <w:szCs w:val="32"/>
        </w:rPr>
        <w:t>仪器设置：特殊参数，待测基因、内标的荧光通道选择等。</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7.6质量控制：说明对照品（质控品）的检测要求。</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8.【阳性判断值】</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简要总结阳性判断值研究方法及结论。</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9.【检验结果的解释】</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结合对照品（质控品）以及样本管中靶基因和内标的检测结果，对所有可能出现的结果组合及相应的解释进行详述。检验结果的解释应以临床试验结论为依据。如有适用的临床诊疗或筛查指南，则应在此项下引用，相应检验结果的解释应符合相关指南的要求。</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10.【检验方法的局限性】</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应至少包括如下描述：</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（1）本试剂检测结果应结合宫颈细胞学检查及其他相关医学检查结果进行综合分析，不得单独作为患者管理的依据。</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（2）不合理的样本采集、转运及处理、以及不当的实验操作和实验环境均有可能导致假阴性或假阳性结果。</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11.【产品性能指标】</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详述以下性能指标：</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（1）对相应国家标准品、参考品（如有）检测的符合情况。</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（2）最低检测限：说明针对各种HPV基因型的最低检出浓度，并简单介绍最低检测限的确定方法。</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（3）企业内部阳性</w:t>
      </w:r>
      <w:r>
        <w:rPr>
          <w:rFonts w:eastAsia="仿宋_GB2312"/>
          <w:kern w:val="0"/>
          <w:sz w:val="24"/>
          <w:szCs w:val="32"/>
        </w:rPr>
        <w:t>/</w:t>
      </w:r>
      <w:r>
        <w:rPr>
          <w:rFonts w:hint="eastAsia" w:eastAsia="仿宋_GB2312"/>
          <w:kern w:val="0"/>
          <w:sz w:val="24"/>
          <w:szCs w:val="32"/>
        </w:rPr>
        <w:t>阴性参考品符合率，阳性</w:t>
      </w:r>
      <w:r>
        <w:rPr>
          <w:rFonts w:eastAsia="仿宋_GB2312"/>
          <w:kern w:val="0"/>
          <w:sz w:val="24"/>
          <w:szCs w:val="32"/>
        </w:rPr>
        <w:t>/</w:t>
      </w:r>
      <w:r>
        <w:rPr>
          <w:rFonts w:hint="eastAsia" w:eastAsia="仿宋_GB2312"/>
          <w:kern w:val="0"/>
          <w:sz w:val="24"/>
          <w:szCs w:val="32"/>
        </w:rPr>
        <w:t>阴性参考品的组成、来源、浓度梯度设置以及评价标准等信息。</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（4）精密度：建议详细描述针对各种HPV基因型，采用不同来源的样本（如人工模拟样本和临床样本）在各个浓度水平进行的精密度评价结果，可采用列表形式描述。</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（5）分析特异性：建议以列表方式说明验证的其他HPV基因型、相关病原体等的交叉反应性及其验证浓度水平。总结潜在干扰物质的评价浓度水平及干扰情况。</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（6）简要描述临床试验的基本信息、试验方法和结论。</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12.【注意事项】</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应至少包括以下内容：</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（1）如该产品含有人源或动物源性物质，应给出生物安全性的警告。</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（2）临床实验室应严格按照《医疗机构临床基因扩增实验室管理办法》（卫办医政发〔</w:t>
      </w:r>
      <w:r>
        <w:rPr>
          <w:rFonts w:eastAsia="仿宋_GB2312"/>
          <w:kern w:val="0"/>
          <w:sz w:val="24"/>
          <w:szCs w:val="32"/>
        </w:rPr>
        <w:t>2010</w:t>
      </w:r>
      <w:r>
        <w:rPr>
          <w:rFonts w:hint="eastAsia" w:eastAsia="仿宋_GB2312"/>
          <w:kern w:val="0"/>
          <w:sz w:val="24"/>
          <w:szCs w:val="32"/>
        </w:rPr>
        <w:t>〕</w:t>
      </w:r>
      <w:r>
        <w:rPr>
          <w:rFonts w:eastAsia="仿宋_GB2312"/>
          <w:kern w:val="0"/>
          <w:sz w:val="24"/>
          <w:szCs w:val="32"/>
        </w:rPr>
        <w:t>194</w:t>
      </w:r>
      <w:r>
        <w:rPr>
          <w:rFonts w:hint="eastAsia" w:eastAsia="仿宋_GB2312"/>
          <w:kern w:val="0"/>
          <w:sz w:val="24"/>
          <w:szCs w:val="32"/>
        </w:rPr>
        <w:t>号或现行有效版本）等有关分子生物学实验室、临床基因扩增实验室的管理规范执行。</w:t>
      </w:r>
    </w:p>
    <w:p>
      <w:pPr>
        <w:spacing w:line="420" w:lineRule="exact"/>
        <w:ind w:firstLine="480" w:firstLineChars="200"/>
        <w:contextualSpacing/>
        <w:rPr>
          <w:rFonts w:eastAsia="仿宋_GB2312"/>
          <w:kern w:val="0"/>
          <w:sz w:val="32"/>
          <w:szCs w:val="32"/>
        </w:rPr>
      </w:pPr>
      <w:r>
        <w:rPr>
          <w:rFonts w:hint="eastAsia" w:eastAsia="仿宋_GB2312"/>
          <w:kern w:val="0"/>
          <w:sz w:val="24"/>
          <w:szCs w:val="32"/>
        </w:rPr>
        <w:t>（3）强调产品性能仅针对声称的适用样本类型及【样本要求】项下说明的样本采集和处理方法（包括样本采集液等）进行了验证，其他样本类型或样本采集、处理方法不能保证产品性能。</w:t>
      </w:r>
    </w:p>
    <w:p>
      <w:pPr>
        <w:spacing w:line="420" w:lineRule="exact"/>
        <w:ind w:firstLine="480" w:firstLineChars="200"/>
        <w:contextualSpacing/>
        <w:rPr>
          <w:rFonts w:ascii="黑体" w:eastAsia="黑体"/>
          <w:sz w:val="24"/>
          <w:szCs w:val="32"/>
        </w:rPr>
      </w:pPr>
      <w:r>
        <w:rPr>
          <w:rFonts w:hint="eastAsia" w:ascii="黑体" w:eastAsia="黑体"/>
          <w:sz w:val="24"/>
          <w:szCs w:val="32"/>
        </w:rPr>
        <w:t>三、名词解释</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1.PCR-荧光探针法</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在PCR过程中利用荧光标记的特异性探针，对PCR产物进行标记跟踪，释放的荧光能量的变化直接反映出PCR扩增产物量的变化，并通过对荧光的采集和分析以达到对原始模板量进行分析的PCR。</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2.分析特异性（A</w:t>
      </w:r>
      <w:r>
        <w:rPr>
          <w:rFonts w:eastAsia="仿宋_GB2312"/>
          <w:kern w:val="0"/>
          <w:sz w:val="24"/>
          <w:szCs w:val="32"/>
        </w:rPr>
        <w:t xml:space="preserve">nalytical </w:t>
      </w:r>
      <w:r>
        <w:rPr>
          <w:rFonts w:hint="eastAsia" w:eastAsia="仿宋_GB2312"/>
          <w:kern w:val="0"/>
          <w:sz w:val="24"/>
          <w:szCs w:val="32"/>
        </w:rPr>
        <w:t>S</w:t>
      </w:r>
      <w:r>
        <w:rPr>
          <w:rFonts w:eastAsia="仿宋_GB2312"/>
          <w:kern w:val="0"/>
          <w:sz w:val="24"/>
          <w:szCs w:val="32"/>
        </w:rPr>
        <w:t>pecificity</w:t>
      </w:r>
      <w:r>
        <w:rPr>
          <w:rFonts w:hint="eastAsia" w:eastAsia="仿宋_GB2312"/>
          <w:kern w:val="0"/>
          <w:sz w:val="24"/>
          <w:szCs w:val="32"/>
        </w:rPr>
        <w:t>）</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测量程序只测量被测量物的能力。分析特异性用于描述检测程序在样本中有其他物质存在时只测量被测量物的能力。通常以一个被评估的潜在干扰物清单来描述，并给出在特定医学相关浓度值水平的分析干扰程度。</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注：潜在干扰物包括干扰物和交叉反应物。</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3.精密度（P</w:t>
      </w:r>
      <w:r>
        <w:rPr>
          <w:rFonts w:eastAsia="仿宋_GB2312"/>
          <w:kern w:val="0"/>
          <w:sz w:val="24"/>
          <w:szCs w:val="32"/>
        </w:rPr>
        <w:t>recision</w:t>
      </w:r>
      <w:r>
        <w:rPr>
          <w:rFonts w:hint="eastAsia" w:eastAsia="仿宋_GB2312"/>
          <w:kern w:val="0"/>
          <w:sz w:val="24"/>
          <w:szCs w:val="32"/>
        </w:rPr>
        <w:t>）</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在规定条件下，相互独立的测试结果之间的一致程度。精密度的程度是用统计学方法得到的测量不精密度的数字形式表示，如标准差（</w:t>
      </w:r>
      <w:r>
        <w:rPr>
          <w:rFonts w:eastAsia="仿宋_GB2312"/>
          <w:kern w:val="0"/>
          <w:sz w:val="24"/>
          <w:szCs w:val="32"/>
        </w:rPr>
        <w:t>SD</w:t>
      </w:r>
      <w:r>
        <w:rPr>
          <w:rFonts w:hint="eastAsia" w:eastAsia="仿宋_GB2312"/>
          <w:kern w:val="0"/>
          <w:sz w:val="24"/>
          <w:szCs w:val="32"/>
        </w:rPr>
        <w:t>）和变异系数（</w:t>
      </w:r>
      <w:r>
        <w:rPr>
          <w:rFonts w:eastAsia="仿宋_GB2312"/>
          <w:kern w:val="0"/>
          <w:sz w:val="24"/>
          <w:szCs w:val="32"/>
        </w:rPr>
        <w:t>CV</w:t>
      </w:r>
      <w:r>
        <w:rPr>
          <w:rFonts w:hint="eastAsia" w:eastAsia="仿宋_GB2312"/>
          <w:kern w:val="0"/>
          <w:sz w:val="24"/>
          <w:szCs w:val="32"/>
        </w:rPr>
        <w:t>）。</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4.检测限（Detection Limit, Limit of Detection）</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样品中以一定概率可被声明与零有差异的被测量的最低值。</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5.阈值循环数(Cycle threshold, Ct)</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实时监测扩增过程中，反应管内的荧光信号到达指数扩增时经历的循环周期数。主要的计算方式是以扩增过程前3到15个循环的荧光值的10倍标准差为阈值，当荧光值超过阈值时的循环数则为阈值循环数（Ct）。</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6.内对照（内标）(Internal Control)</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在同一反应管中与靶序列共同扩增的一段非靶序列分子，其目的是鉴别仪器故障、试剂因素、聚合酶活性因素或样本中存在抑制物等造成的结果不理想的原因。</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7.意义未确定的非典型鳞状上皮细胞（ASC-US）</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指不能肯定其形态特征及病变性质的形态异常的鳞状上皮细胞。</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8.宫颈上皮内瘤变（CIN）</w:t>
      </w:r>
    </w:p>
    <w:p>
      <w:pPr>
        <w:spacing w:line="420" w:lineRule="exact"/>
        <w:ind w:firstLine="480" w:firstLineChars="200"/>
        <w:contextualSpacing/>
        <w:rPr>
          <w:rFonts w:eastAsia="仿宋_GB2312"/>
          <w:kern w:val="0"/>
          <w:sz w:val="24"/>
          <w:szCs w:val="32"/>
        </w:rPr>
      </w:pPr>
      <w:r>
        <w:rPr>
          <w:rFonts w:hint="eastAsia" w:eastAsia="仿宋_GB2312"/>
          <w:kern w:val="0"/>
          <w:sz w:val="24"/>
          <w:szCs w:val="32"/>
        </w:rPr>
        <w:t>是一组病变的统称，包括宫颈不典型增生和原位癌，为宫颈浸润癌的癌前期病变。此类病变仍限于宫颈上皮层内，未穿透基底膜，无间质浸润。</w:t>
      </w:r>
      <w:bookmarkStart w:id="3" w:name="QianFaShiJianΩ1"/>
      <w:bookmarkEnd w:id="3"/>
      <w:bookmarkStart w:id="4" w:name="参5"/>
      <w:bookmarkEnd w:id="4"/>
      <w:bookmarkStart w:id="5" w:name="参3"/>
      <w:bookmarkEnd w:id="5"/>
      <w:bookmarkStart w:id="6" w:name="参2"/>
      <w:bookmarkEnd w:id="6"/>
      <w:bookmarkStart w:id="7" w:name="YinFaRiQiΩ1"/>
      <w:bookmarkEnd w:id="7"/>
      <w:bookmarkStart w:id="8" w:name="参6"/>
      <w:bookmarkEnd w:id="8"/>
      <w:bookmarkStart w:id="9" w:name="参1"/>
      <w:bookmarkEnd w:id="9"/>
      <w:bookmarkStart w:id="10" w:name="GongKaiShuXingΩ1"/>
      <w:bookmarkEnd w:id="10"/>
      <w:bookmarkStart w:id="11" w:name="word_number_fieldΩ1"/>
      <w:bookmarkEnd w:id="11"/>
      <w:bookmarkStart w:id="12" w:name="参4"/>
      <w:bookmarkEnd w:id="12"/>
    </w:p>
    <w:sectPr>
      <w:footerReference r:id="rId3" w:type="default"/>
      <w:footerReference r:id="rId4" w:type="even"/>
      <w:pgSz w:w="11906" w:h="16838"/>
      <w:pgMar w:top="1135" w:right="1474" w:bottom="1276"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TimesNewRomanPSMT">
    <w:altName w:val="Arial Unicode MS"/>
    <w:panose1 w:val="00000000000000000000"/>
    <w:charset w:val="00"/>
    <w:family w:val="roman"/>
    <w:pitch w:val="default"/>
    <w:sig w:usb0="00000000" w:usb1="00000000" w:usb2="0000001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726A3"/>
    <w:rsid w:val="00005461"/>
    <w:rsid w:val="000550E7"/>
    <w:rsid w:val="00145467"/>
    <w:rsid w:val="001474B7"/>
    <w:rsid w:val="003339E7"/>
    <w:rsid w:val="0038075A"/>
    <w:rsid w:val="00421A71"/>
    <w:rsid w:val="005F6F7F"/>
    <w:rsid w:val="00715721"/>
    <w:rsid w:val="008341D4"/>
    <w:rsid w:val="00873890"/>
    <w:rsid w:val="00A31A45"/>
    <w:rsid w:val="00A363D5"/>
    <w:rsid w:val="00A50F47"/>
    <w:rsid w:val="00AE18F6"/>
    <w:rsid w:val="00B36F67"/>
    <w:rsid w:val="00BA0BC4"/>
    <w:rsid w:val="00BB6C0C"/>
    <w:rsid w:val="00BD17CB"/>
    <w:rsid w:val="00C636EB"/>
    <w:rsid w:val="00C726A3"/>
    <w:rsid w:val="00C93815"/>
    <w:rsid w:val="00D01577"/>
    <w:rsid w:val="00E606FF"/>
    <w:rsid w:val="00F21713"/>
    <w:rsid w:val="6E2C0D2F"/>
    <w:rsid w:val="73B30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2"/>
    <w:semiHidden/>
    <w:qFormat/>
    <w:uiPriority w:val="0"/>
    <w:pPr>
      <w:shd w:val="clear" w:color="auto" w:fill="000080"/>
    </w:pPr>
  </w:style>
  <w:style w:type="paragraph" w:styleId="3">
    <w:name w:val="Balloon Text"/>
    <w:basedOn w:val="1"/>
    <w:link w:val="15"/>
    <w:qFormat/>
    <w:uiPriority w:val="0"/>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character" w:styleId="9">
    <w:name w:val="Hyperlink"/>
    <w:qFormat/>
    <w:uiPriority w:val="0"/>
    <w:rPr>
      <w:color w:val="0000FF"/>
      <w:u w:val="single"/>
    </w:rPr>
  </w:style>
  <w:style w:type="character" w:customStyle="1" w:styleId="10">
    <w:name w:val="页眉 Char"/>
    <w:basedOn w:val="7"/>
    <w:link w:val="5"/>
    <w:uiPriority w:val="99"/>
    <w:rPr>
      <w:sz w:val="18"/>
      <w:szCs w:val="18"/>
    </w:rPr>
  </w:style>
  <w:style w:type="character" w:customStyle="1" w:styleId="11">
    <w:name w:val="页脚 Char"/>
    <w:basedOn w:val="7"/>
    <w:link w:val="4"/>
    <w:qFormat/>
    <w:uiPriority w:val="99"/>
    <w:rPr>
      <w:sz w:val="18"/>
      <w:szCs w:val="18"/>
    </w:rPr>
  </w:style>
  <w:style w:type="character" w:customStyle="1" w:styleId="12">
    <w:name w:val="文档结构图 Char"/>
    <w:basedOn w:val="7"/>
    <w:link w:val="2"/>
    <w:semiHidden/>
    <w:uiPriority w:val="0"/>
    <w:rPr>
      <w:rFonts w:ascii="Times New Roman" w:hAnsi="Times New Roman" w:eastAsia="宋体" w:cs="Times New Roman"/>
      <w:szCs w:val="24"/>
      <w:shd w:val="clear" w:color="auto" w:fill="000080"/>
    </w:rPr>
  </w:style>
  <w:style w:type="paragraph" w:customStyle="1" w:styleId="13">
    <w:name w:val="列出段落1"/>
    <w:basedOn w:val="1"/>
    <w:qFormat/>
    <w:uiPriority w:val="34"/>
    <w:pPr>
      <w:ind w:firstLine="420" w:firstLineChars="200"/>
    </w:pPr>
    <w:rPr>
      <w:rFonts w:ascii="Calibri" w:hAnsi="Calibri" w:cs="黑体"/>
      <w:szCs w:val="22"/>
    </w:rPr>
  </w:style>
  <w:style w:type="paragraph" w:styleId="14">
    <w:name w:val="List Paragraph"/>
    <w:basedOn w:val="1"/>
    <w:qFormat/>
    <w:uiPriority w:val="34"/>
    <w:pPr>
      <w:ind w:firstLine="420" w:firstLineChars="200"/>
    </w:pPr>
    <w:rPr>
      <w:rFonts w:ascii="Calibri" w:hAnsi="Calibri"/>
      <w:szCs w:val="22"/>
    </w:rPr>
  </w:style>
  <w:style w:type="character" w:customStyle="1" w:styleId="15">
    <w:name w:val="批注框文本 Char"/>
    <w:basedOn w:val="7"/>
    <w:link w:val="3"/>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AF354F-C2F4-489E-80C4-7990A2E27E0C}">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22</Pages>
  <Words>2906</Words>
  <Characters>16570</Characters>
  <Lines>138</Lines>
  <Paragraphs>38</Paragraphs>
  <TotalTime>213</TotalTime>
  <ScaleCrop>false</ScaleCrop>
  <LinksUpToDate>false</LinksUpToDate>
  <CharactersWithSpaces>19438</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2016-04-22T02:10:00Z</dcterms:created>
  <dc:creator>张京梅</dc:creator>
  <cp:lastModifiedBy>晶晶</cp:lastModifiedBy>
  <cp:lastPrinted>2016-12-06T02:28:00Z</cp:lastPrinted>
  <dcterms:modified xsi:type="dcterms:W3CDTF">2021-08-18T06:41:04Z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0D42C5A6F670469CA05CF3B402A14929</vt:lpwstr>
  </property>
</Properties>
</file>